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jc w:val="center"/>
        <w:rPr>
          <w:rFonts w:hint="eastAsia" w:asciiTheme="minorEastAsia" w:hAnsiTheme="minorEastAsia" w:eastAsiaTheme="minorEastAsia"/>
          <w:bCs/>
          <w:sz w:val="84"/>
          <w:szCs w:val="84"/>
        </w:rPr>
      </w:pPr>
      <w:r/>
      <w:bookmarkStart w:id="0" w:name="OLE_LINK17"/>
      <w:r/>
      <w:bookmarkStart w:id="1" w:name="OLE_LINK18"/>
      <w:r/>
      <w:bookmarkStart w:id="2" w:name="_Toc179632605"/>
      <w:r/>
      <w:bookmarkStart w:id="3" w:name="_Toc246996973"/>
      <w:r/>
      <w:bookmarkStart w:id="4" w:name="_Toc383438646"/>
      <w:r/>
      <w:bookmarkStart w:id="5" w:name="_Toc246996230"/>
      <w:r/>
      <w:bookmarkStart w:id="6" w:name="_Toc144974554"/>
      <w:r/>
      <w:bookmarkStart w:id="7" w:name="_Toc152045587"/>
      <w:r/>
      <w:bookmarkStart w:id="8" w:name="_Toc247085745"/>
      <w:r/>
      <w:bookmarkStart w:id="9" w:name="_Toc152042364"/>
      <w:r/>
      <w:bookmarkStart w:id="10" w:name="_Toc343525562"/>
      <w:r/>
      <w:bookmarkStart w:id="11" w:name="_Toc383625994"/>
      <w:r/>
      <w:bookmarkStart w:id="12" w:name="_Toc16938516"/>
      <w:r/>
      <w:bookmarkStart w:id="13" w:name="_Toc390246906"/>
      <w:r/>
      <w:bookmarkStart w:id="14" w:name="_Toc390098841"/>
      <w:r/>
      <w:bookmarkStart w:id="15" w:name="_Toc20823272"/>
      <w:r/>
      <w:bookmarkStart w:id="16" w:name="_Toc382813966"/>
      <w:r/>
      <w:bookmarkStart w:id="17" w:name="_Toc382812472"/>
      <w:r/>
      <w:bookmarkStart w:id="18" w:name="_Toc383587457"/>
      <w:r/>
      <w:bookmarkStart w:id="19" w:name="_Toc383679747"/>
      <w:r/>
      <w:bookmarkStart w:id="20" w:name="_Toc523127445"/>
      <w:r/>
      <w:bookmarkStart w:id="21" w:name="_Toc479757206"/>
      <w:r/>
      <w:bookmarkStart w:id="22" w:name="_Toc513029200"/>
      <w:r/>
      <w:bookmarkStart w:id="23" w:name="_Toc390099019"/>
      <w:r/>
      <w:bookmarkStart w:id="24" w:name="_Toc383623945"/>
      <w:r/>
      <w:bookmarkStart w:id="25" w:name="_Toc382813885"/>
      <w:r/>
      <w:bookmarkStart w:id="26" w:name="_Toc383623673"/>
      <w:r/>
      <w:bookmarkStart w:id="27" w:name="_Toc383698648"/>
      <w:r/>
      <w:bookmarkStart w:id="28" w:name="OLE_LINK40"/>
      <w:r/>
      <w:r/>
    </w:p>
    <w:p>
      <w:pPr>
        <w:pStyle w:val="964"/>
        <w:jc w:val="center"/>
        <w:rPr>
          <w:rFonts w:hint="eastAsia" w:asciiTheme="minorEastAsia" w:hAnsiTheme="minorEastAsia" w:eastAsiaTheme="minorEastAsia"/>
          <w:bCs/>
          <w:sz w:val="84"/>
          <w:szCs w:val="84"/>
        </w:rPr>
      </w:pPr>
      <w:r>
        <w:rPr>
          <w:rFonts w:hint="eastAsia" w:asciiTheme="minorEastAsia" w:hAnsiTheme="minorEastAsia" w:eastAsiaTheme="minorEastAsia"/>
          <w:bCs/>
          <w:sz w:val="84"/>
          <w:szCs w:val="84"/>
        </w:rPr>
        <w:t xml:space="preserve">招　标　文　件</w:t>
      </w:r>
      <w:r/>
    </w:p>
    <w:p>
      <w:pPr>
        <w:pStyle w:val="964"/>
        <w:spacing w:line="5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pStyle w:val="964"/>
        <w:spacing w:line="5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pStyle w:val="964"/>
        <w:jc w:val="center"/>
        <w:spacing w:line="5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pStyle w:val="964"/>
        <w:jc w:val="center"/>
        <w:spacing w:line="5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pStyle w:val="964"/>
        <w:ind w:left="1606" w:hanging="1606"/>
        <w:jc w:val="left"/>
        <w:spacing w:line="540" w:lineRule="exact"/>
        <w:rPr>
          <w:rFonts w:hint="eastAsia" w:asciiTheme="minorEastAsia" w:hAnsiTheme="minorEastAsia" w:eastAsiaTheme="minorEastAsia"/>
          <w:b/>
          <w:bCs/>
          <w:sz w:val="32"/>
          <w:szCs w:val="32"/>
          <w:lang w:eastAsia="zh-CN"/>
        </w:rPr>
      </w:pPr>
      <w:r>
        <w:rPr>
          <w:rFonts w:hint="eastAsia" w:asciiTheme="minorEastAsia" w:hAnsiTheme="minorEastAsia" w:eastAsiaTheme="minorEastAsia"/>
          <w:b/>
          <w:bCs/>
          <w:sz w:val="32"/>
          <w:szCs w:val="32"/>
        </w:rPr>
        <w:t xml:space="preserve">项目名称：</w:t>
      </w:r>
      <w:r>
        <w:rPr>
          <w:rFonts w:hint="eastAsia" w:asciiTheme="minorEastAsia" w:hAnsiTheme="minorEastAsia" w:eastAsiaTheme="minorEastAsia"/>
          <w:b/>
          <w:bCs/>
          <w:sz w:val="32"/>
          <w:szCs w:val="32"/>
          <w:lang w:eastAsia="zh-CN"/>
        </w:rPr>
        <w:t xml:space="preserve">城区工业园区军民路南侧项目、根思路南侧项目、</w:t>
      </w:r>
      <w:r>
        <w:rPr>
          <w:rFonts w:hint="eastAsia" w:asciiTheme="minorEastAsia" w:hAnsiTheme="minorEastAsia" w:eastAsiaTheme="minorEastAsia"/>
          <w:b/>
          <w:bCs/>
          <w:sz w:val="32"/>
          <w:szCs w:val="32"/>
          <w:lang w:eastAsia="zh-CN"/>
        </w:rPr>
        <w:t xml:space="preserve">阳江路南侧项目等地块考古调查、勘探服务项目</w:t>
      </w:r>
      <w:r/>
    </w:p>
    <w:p>
      <w:pPr>
        <w:pStyle w:val="964"/>
        <w:jc w:val="left"/>
        <w:spacing w:line="5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pStyle w:val="964"/>
        <w:jc w:val="left"/>
        <w:spacing w:line="5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t xml:space="preserve">项目编号</w:t>
      </w:r>
      <w:r>
        <w:rPr>
          <w:rFonts w:hint="eastAsia" w:asciiTheme="minorEastAsia" w:hAnsiTheme="minorEastAsia" w:eastAsiaTheme="minorEastAsia"/>
          <w:b/>
          <w:bCs/>
          <w:sz w:val="32"/>
          <w:szCs w:val="32"/>
        </w:rPr>
        <w:t xml:space="preserve">：JSZC-321283-TZCX-G2025-0005</w:t>
      </w:r>
      <w:r/>
    </w:p>
    <w:p>
      <w:pPr>
        <w:pStyle w:val="964"/>
        <w:jc w:val="center"/>
        <w:spacing w:line="5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pStyle w:val="964"/>
        <w:jc w:val="center"/>
        <w:spacing w:line="5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pStyle w:val="964"/>
        <w:jc w:val="both"/>
        <w:spacing w:line="54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964"/>
        <w:ind w:firstLine="643"/>
        <w:jc w:val="center"/>
        <w:spacing w:line="54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964"/>
        <w:ind w:firstLine="643"/>
        <w:jc w:val="center"/>
        <w:spacing w:line="54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900" w:lineRule="exact"/>
        <w:rPr>
          <w:rFonts w:hint="eastAsia" w:asciiTheme="minorEastAsia" w:hAnsiTheme="minorEastAsia" w:eastAsiaTheme="minorEastAsia"/>
          <w:b/>
          <w:color w:val="000000"/>
          <w:sz w:val="30"/>
          <w:szCs w:val="30"/>
          <w:lang w:eastAsia="zh-CN"/>
        </w:rPr>
      </w:pPr>
      <w:r>
        <w:rPr>
          <w:rFonts w:hint="eastAsia" w:asciiTheme="minorEastAsia" w:hAnsiTheme="minorEastAsia" w:eastAsiaTheme="minorEastAsia"/>
          <w:b/>
          <w:color w:val="000000"/>
          <w:sz w:val="30"/>
          <w:szCs w:val="30"/>
        </w:rPr>
        <w:t xml:space="preserve">采购人：</w:t>
      </w:r>
      <w:r>
        <w:rPr>
          <w:rFonts w:hint="eastAsia" w:asciiTheme="minorEastAsia" w:hAnsiTheme="minorEastAsia" w:eastAsiaTheme="minorEastAsia"/>
          <w:b/>
          <w:color w:val="000000"/>
          <w:sz w:val="30"/>
          <w:szCs w:val="30"/>
          <w:lang w:eastAsia="zh-CN"/>
        </w:rPr>
        <w:t xml:space="preserve">泰兴市城区工业园区管理办公室</w:t>
      </w:r>
      <w:r/>
    </w:p>
    <w:p>
      <w:pPr>
        <w:jc w:val="center"/>
        <w:spacing w:line="900" w:lineRule="exact"/>
        <w:rPr>
          <w:rFonts w:hint="eastAsia" w:asciiTheme="minorEastAsia" w:hAnsiTheme="minorEastAsia" w:eastAsiaTheme="minorEastAsia"/>
          <w:b/>
          <w:color w:val="000000"/>
          <w:sz w:val="30"/>
          <w:szCs w:val="30"/>
          <w:lang w:eastAsia="zh-CN"/>
        </w:rPr>
      </w:pPr>
      <w:r>
        <w:rPr>
          <w:rFonts w:hint="eastAsia" w:asciiTheme="minorEastAsia" w:hAnsiTheme="minorEastAsia" w:eastAsiaTheme="minorEastAsia"/>
          <w:b/>
          <w:color w:val="000000"/>
          <w:sz w:val="30"/>
          <w:szCs w:val="30"/>
        </w:rPr>
        <w:t xml:space="preserve">代理机构：</w:t>
      </w:r>
      <w:r>
        <w:rPr>
          <w:rFonts w:hint="eastAsia" w:asciiTheme="minorEastAsia" w:hAnsiTheme="minorEastAsia" w:eastAsiaTheme="minorEastAsia"/>
          <w:b/>
          <w:color w:val="000000"/>
          <w:sz w:val="30"/>
          <w:szCs w:val="30"/>
          <w:lang w:eastAsia="zh-CN"/>
        </w:rPr>
        <w:t xml:space="preserve">泰州诚兴项目管理有限公司</w:t>
      </w:r>
      <w:r/>
    </w:p>
    <w:p>
      <w:pPr>
        <w:jc w:val="center"/>
        <w:rPr>
          <w:rFonts w:asciiTheme="minorEastAsia" w:hAnsiTheme="minorEastAsia" w:eastAsiaTheme="minorEastAsia"/>
          <w:b/>
          <w:color w:val="000000"/>
          <w:sz w:val="30"/>
          <w:szCs w:val="30"/>
        </w:rPr>
      </w:pPr>
      <w:r>
        <w:rPr>
          <w:rFonts w:asciiTheme="minorEastAsia" w:hAnsiTheme="minorEastAsia" w:eastAsiaTheme="minorEastAsia"/>
          <w:b/>
          <w:color w:val="000000"/>
          <w:sz w:val="30"/>
          <w:szCs w:val="30"/>
        </w:rPr>
      </w:r>
      <w:r/>
    </w:p>
    <w:p>
      <w:pPr>
        <w:jc w:val="center"/>
        <w:rPr>
          <w:rFonts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 xml:space="preserve">二○二</w:t>
      </w:r>
      <w:r>
        <w:rPr>
          <w:rFonts w:hint="eastAsia" w:asciiTheme="minorEastAsia" w:hAnsiTheme="minorEastAsia" w:eastAsiaTheme="minorEastAsia"/>
          <w:b/>
          <w:color w:val="000000"/>
          <w:sz w:val="30"/>
          <w:szCs w:val="30"/>
          <w:lang w:val="en-US" w:eastAsia="zh-CN"/>
        </w:rPr>
        <w:t xml:space="preserve">六</w:t>
      </w:r>
      <w:r>
        <w:rPr>
          <w:rFonts w:hint="eastAsia" w:asciiTheme="minorEastAsia" w:hAnsiTheme="minorEastAsia" w:eastAsiaTheme="minorEastAsia"/>
          <w:b/>
          <w:color w:val="000000"/>
          <w:sz w:val="30"/>
          <w:szCs w:val="30"/>
        </w:rPr>
        <w:t xml:space="preserve">年</w:t>
      </w:r>
      <w:r>
        <w:rPr>
          <w:rFonts w:hint="eastAsia" w:asciiTheme="minorEastAsia" w:hAnsiTheme="minorEastAsia" w:eastAsiaTheme="minorEastAsia"/>
          <w:b/>
          <w:color w:val="000000"/>
          <w:sz w:val="30"/>
          <w:szCs w:val="30"/>
          <w:lang w:val="en-US" w:eastAsia="zh-CN"/>
        </w:rPr>
        <w:t xml:space="preserve">一</w:t>
      </w:r>
      <w:r>
        <w:rPr>
          <w:rFonts w:hint="eastAsia" w:asciiTheme="minorEastAsia" w:hAnsiTheme="minorEastAsia" w:eastAsiaTheme="minorEastAsia"/>
          <w:b/>
          <w:color w:val="000000"/>
          <w:sz w:val="30"/>
          <w:szCs w:val="30"/>
        </w:rPr>
        <w:t xml:space="preserve">月</w:t>
      </w:r>
      <w:bookmarkEnd w:id="0"/>
      <w:r/>
      <w:bookmarkEnd w:id="1"/>
      <w:r/>
      <w:r/>
    </w:p>
    <w:p>
      <w:pPr>
        <w:jc w:val="left"/>
        <w:widowControl/>
        <w:rPr>
          <w:rFonts w:asciiTheme="minorEastAsia" w:hAnsiTheme="minorEastAsia" w:eastAsiaTheme="minorEastAsia"/>
          <w:b/>
          <w:color w:val="000000"/>
          <w:sz w:val="30"/>
          <w:szCs w:val="30"/>
        </w:rPr>
      </w:pPr>
      <w:r>
        <w:rPr>
          <w:rFonts w:asciiTheme="minorEastAsia" w:hAnsiTheme="minorEastAsia" w:eastAsiaTheme="minorEastAsia"/>
          <w:b/>
          <w:color w:val="000000"/>
          <w:sz w:val="30"/>
          <w:szCs w:val="30"/>
        </w:rPr>
      </w:r>
      <w:r/>
    </w:p>
    <w:p>
      <w:pPr>
        <w:jc w:val="left"/>
        <w:widowControl/>
        <w:rPr>
          <w:rFonts w:asciiTheme="minorEastAsia" w:hAnsiTheme="minorEastAsia" w:eastAsiaTheme="minorEastAsia"/>
          <w:b/>
          <w:bCs/>
          <w:color w:val="000000"/>
          <w:sz w:val="30"/>
          <w:szCs w:val="30"/>
        </w:rPr>
      </w:pPr>
      <w:r>
        <w:rPr>
          <w:rFonts w:asciiTheme="minorEastAsia" w:hAnsiTheme="minorEastAsia" w:eastAsiaTheme="minorEastAsia"/>
          <w:b/>
          <w:color w:val="000000"/>
          <w:sz w:val="30"/>
          <w:szCs w:val="30"/>
        </w:rPr>
      </w:r>
      <w:r>
        <w:rPr>
          <w:rFonts w:asciiTheme="minorEastAsia" w:hAnsiTheme="minorEastAsia" w:eastAsiaTheme="minorEastAsia"/>
          <w:b/>
          <w:color w:val="000000"/>
          <w:sz w:val="30"/>
          <w:szCs w:val="30"/>
        </w:rPr>
      </w:r>
      <w:r/>
    </w:p>
    <w:p>
      <w:pPr>
        <w:jc w:val="left"/>
        <w:widowControl/>
        <w:rPr>
          <w:rFonts w:asciiTheme="minorEastAsia" w:hAnsiTheme="minorEastAsia" w:eastAsiaTheme="minorEastAsia"/>
          <w:b/>
          <w:bCs/>
          <w:color w:val="000000"/>
          <w:sz w:val="30"/>
          <w:szCs w:val="30"/>
        </w:rPr>
      </w:pPr>
      <w:r>
        <w:rPr>
          <w:rFonts w:asciiTheme="minorEastAsia" w:hAnsiTheme="minorEastAsia" w:eastAsiaTheme="minorEastAsia"/>
          <w:b/>
          <w:bCs/>
          <w:color w:val="000000"/>
          <w:sz w:val="30"/>
          <w:szCs w:val="30"/>
        </w:rPr>
      </w:r>
      <w:r>
        <w:rPr>
          <w:rFonts w:asciiTheme="minorEastAsia" w:hAnsiTheme="minorEastAsia" w:eastAsiaTheme="minorEastAsia"/>
          <w:b/>
          <w:bCs/>
          <w:color w:val="000000"/>
          <w:sz w:val="30"/>
          <w:szCs w:val="30"/>
        </w:rPr>
      </w:r>
      <w:r/>
    </w:p>
    <w:p>
      <w:pPr>
        <w:jc w:val="left"/>
        <w:widowControl/>
        <w:rPr>
          <w:rFonts w:asciiTheme="minorEastAsia" w:hAnsiTheme="minorEastAsia" w:eastAsiaTheme="minorEastAsia"/>
          <w:b/>
          <w:bCs/>
          <w:color w:val="000000"/>
          <w:sz w:val="30"/>
          <w:szCs w:val="30"/>
        </w:rPr>
      </w:pPr>
      <w:r>
        <w:rPr>
          <w:rFonts w:asciiTheme="minorEastAsia" w:hAnsiTheme="minorEastAsia" w:eastAsiaTheme="minorEastAsia"/>
          <w:b/>
          <w:bCs/>
          <w:color w:val="000000"/>
          <w:sz w:val="30"/>
          <w:szCs w:val="30"/>
        </w:rPr>
      </w:r>
      <w:r>
        <w:rPr>
          <w:rFonts w:asciiTheme="minorEastAsia" w:hAnsiTheme="minorEastAsia" w:eastAsiaTheme="minorEastAsia"/>
          <w:b/>
          <w:bCs/>
          <w:color w:val="000000"/>
          <w:sz w:val="30"/>
          <w:szCs w:val="30"/>
        </w:rPr>
      </w:r>
      <w:r/>
    </w:p>
    <w:p>
      <w:pPr>
        <w:jc w:val="left"/>
        <w:widowControl/>
        <w:rPr>
          <w:rFonts w:asciiTheme="minorEastAsia" w:hAnsiTheme="minorEastAsia" w:eastAsiaTheme="minorEastAsia"/>
          <w:b/>
          <w:bCs/>
          <w:color w:val="000000"/>
          <w:sz w:val="30"/>
          <w:szCs w:val="30"/>
        </w:rPr>
      </w:pPr>
      <w:r>
        <w:rPr>
          <w:rFonts w:asciiTheme="minorEastAsia" w:hAnsiTheme="minorEastAsia" w:eastAsiaTheme="minorEastAsia"/>
          <w:b/>
          <w:color w:val="000000"/>
          <w:sz w:val="30"/>
          <w:szCs w:val="30"/>
        </w:rPr>
      </w:r>
      <w:r/>
    </w:p>
    <w:p>
      <w:pPr>
        <w:pStyle w:val="1091"/>
        <w:ind w:left="641" w:hanging="646"/>
        <w:jc w:val="center"/>
        <w:spacing w:line="500" w:lineRule="exact"/>
        <w:tabs>
          <w:tab w:val="left" w:pos="3240" w:leader="none"/>
        </w:tabs>
        <w:rPr>
          <w:rFonts w:hint="eastAsia" w:ascii="宋体" w:hAnsi="宋体" w:eastAsia="宋体" w:cs="宋体"/>
          <w:b/>
          <w:color w:val="0d0d0d"/>
        </w:rPr>
      </w:pPr>
      <w:r>
        <w:rPr>
          <w:rFonts w:hint="eastAsia" w:ascii="宋体" w:hAnsi="宋体" w:eastAsia="宋体" w:cs="宋体"/>
          <w:b/>
          <w:color w:val="0d0d0d"/>
          <w:lang w:val="en-US" w:eastAsia="zh-CN"/>
        </w:rPr>
        <w:t xml:space="preserve">    </w:t>
      </w:r>
      <w:r>
        <w:rPr>
          <w:rFonts w:hint="eastAsia" w:ascii="宋体" w:hAnsi="宋体" w:eastAsia="宋体" w:cs="宋体"/>
          <w:b/>
          <w:color w:val="0d0d0d"/>
        </w:rPr>
        <w:t xml:space="preserve">第一章 采购公告</w:t>
      </w:r>
      <w:r/>
    </w:p>
    <w:p>
      <w:pPr>
        <w:spacing w:line="500" w:lineRule="exact"/>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bookmarkStart w:id="29" w:name="_Toc28359008"/>
      <w:r/>
      <w:bookmarkStart w:id="30" w:name="_Toc35393627"/>
      <w:r/>
      <w:bookmarkStart w:id="31" w:name="_Toc35393796"/>
      <w:r/>
      <w:bookmarkStart w:id="32" w:name="_Toc28359085"/>
      <w:r>
        <w:rPr>
          <w:rFonts w:hint="eastAsia" w:ascii="宋体" w:hAnsi="宋体" w:eastAsia="宋体" w:cs="宋体"/>
          <w:sz w:val="24"/>
          <w:szCs w:val="24"/>
        </w:rPr>
        <w:t xml:space="preserve">项目概况</w:t>
      </w:r>
      <w:r/>
    </w:p>
    <w:p>
      <w:pPr>
        <w:ind w:firstLine="560"/>
        <w:spacing w:line="500" w:lineRule="exact"/>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sz w:val="24"/>
          <w:szCs w:val="24"/>
          <w:u w:val="single"/>
          <w:lang w:eastAsia="zh-CN"/>
        </w:rPr>
        <w:t xml:space="preserve">城区工业园区军民路南侧项目、根思路南侧项目、阳江路南侧项目等地块考古调查、勘探服务项目JSZC-321283-TZCX-G2025-0005</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的潜在供应商应在“苏采云”政府采购一体化平台获取采购文件，并于202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w:t>
      </w:r>
      <w:r>
        <w:rPr>
          <w:rFonts w:hint="eastAsia" w:ascii="宋体" w:hAnsi="宋体" w:cs="宋体"/>
          <w:sz w:val="24"/>
          <w:szCs w:val="24"/>
          <w:u w:val="single"/>
          <w:lang w:val="en-US" w:eastAsia="zh-CN"/>
        </w:rPr>
        <w:t xml:space="preserve">1</w:t>
      </w:r>
      <w:r>
        <w:rPr>
          <w:rFonts w:hint="eastAsia" w:ascii="宋体" w:hAnsi="宋体" w:eastAsia="宋体" w:cs="宋体"/>
          <w:sz w:val="24"/>
          <w:szCs w:val="24"/>
          <w:u w:val="single"/>
        </w:rPr>
        <w:t xml:space="preserve">-</w:t>
      </w:r>
      <w:r>
        <w:rPr>
          <w:rFonts w:hint="eastAsia" w:ascii="宋体" w:hAnsi="宋体" w:cs="宋体"/>
          <w:sz w:val="24"/>
          <w:szCs w:val="24"/>
          <w:u w:val="single"/>
          <w:lang w:val="en-US" w:eastAsia="zh-CN"/>
        </w:rPr>
        <w:t xml:space="preserve">29</w:t>
      </w:r>
      <w:r>
        <w:rPr>
          <w:rFonts w:hint="eastAsia" w:ascii="宋体" w:hAnsi="宋体" w:eastAsia="宋体" w:cs="宋体"/>
          <w:sz w:val="24"/>
          <w:szCs w:val="24"/>
          <w:u w:val="single"/>
          <w:lang w:val="en-US" w:eastAsia="zh-CN"/>
        </w:rPr>
        <w:t xml:space="preserve"> 14</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0（北京时间）前提交投标文件。</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一、项目基本情况</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项目编号：JSZC-321283-TZCX-G2025-0005</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pacing w:val="-14"/>
          <w:sz w:val="24"/>
          <w:szCs w:val="24"/>
        </w:rPr>
        <w:t xml:space="preserve">：</w:t>
      </w:r>
      <w:r>
        <w:rPr>
          <w:rFonts w:hint="eastAsia" w:ascii="宋体" w:hAnsi="宋体" w:eastAsia="宋体" w:cs="宋体"/>
          <w:sz w:val="24"/>
          <w:szCs w:val="24"/>
          <w:lang w:eastAsia="zh-CN"/>
        </w:rPr>
        <w:t xml:space="preserve">城区工业园区军民路南侧项目、根思路南侧项目、阳江路南侧项目等地块考古调查、勘探服务项目</w:t>
      </w:r>
      <w:r>
        <w:rPr>
          <w:rFonts w:hint="eastAsia" w:ascii="宋体" w:hAnsi="宋体" w:eastAsia="宋体" w:cs="宋体"/>
          <w:sz w:val="24"/>
          <w:szCs w:val="24"/>
        </w:rPr>
        <w:t xml:space="preserve">；</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采购方式：</w:t>
      </w:r>
      <w:r>
        <w:rPr>
          <w:rFonts w:hint="eastAsia" w:ascii="宋体" w:hAnsi="宋体" w:eastAsia="宋体" w:cs="宋体"/>
          <w:sz w:val="24"/>
          <w:szCs w:val="24"/>
          <w:lang w:val="en-US" w:eastAsia="zh-CN"/>
        </w:rPr>
        <w:t xml:space="preserve">公开招标</w:t>
      </w:r>
      <w:r>
        <w:rPr>
          <w:rFonts w:hint="eastAsia" w:ascii="宋体" w:hAnsi="宋体" w:eastAsia="宋体" w:cs="宋体"/>
          <w:sz w:val="24"/>
          <w:szCs w:val="24"/>
        </w:rPr>
        <w:t xml:space="preserve">；</w:t>
      </w:r>
      <w:r/>
    </w:p>
    <w:p>
      <w:pPr>
        <w:ind w:firstLine="56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rPr>
          <w:rFonts w:hint="eastAsia" w:ascii="宋体" w:hAnsi="宋体" w:cs="宋体"/>
          <w:color w:val="auto"/>
          <w:sz w:val="24"/>
          <w:szCs w:val="24"/>
          <w:lang w:val="en-US" w:eastAsia="zh-CN"/>
        </w:rPr>
        <w:t xml:space="preserve">72.5</w:t>
      </w:r>
      <w:r>
        <w:rPr>
          <w:rFonts w:hint="eastAsia" w:ascii="宋体" w:hAnsi="宋体" w:eastAsia="宋体" w:cs="宋体"/>
          <w:color w:val="auto"/>
          <w:sz w:val="24"/>
          <w:szCs w:val="24"/>
        </w:rPr>
        <w:t xml:space="preserve">万元；</w:t>
      </w:r>
      <w:r/>
    </w:p>
    <w:p>
      <w:pPr>
        <w:ind w:firstLine="56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最高限价：</w:t>
      </w:r>
      <w:r>
        <w:rPr>
          <w:rFonts w:hint="eastAsia" w:ascii="宋体" w:hAnsi="宋体" w:cs="宋体"/>
          <w:color w:val="auto"/>
          <w:sz w:val="24"/>
          <w:szCs w:val="24"/>
          <w:lang w:val="en-US" w:eastAsia="zh-CN"/>
        </w:rPr>
        <w:t xml:space="preserve">72.5</w:t>
      </w:r>
      <w:r>
        <w:rPr>
          <w:rFonts w:hint="eastAsia" w:ascii="宋体" w:hAnsi="宋体" w:eastAsia="宋体" w:cs="宋体"/>
          <w:color w:val="auto"/>
          <w:sz w:val="24"/>
          <w:szCs w:val="24"/>
        </w:rPr>
        <w:t xml:space="preserve">万元</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投标报价不得高于最高限价；</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采购需求：因政策规划，需对城区工业园区军民路南侧项目、根思路南侧项目、阳江路南侧项目等地块 (共约140000平方米)开展考古调查、勘探等服务（具体内容及要求详见招标文件）；</w:t>
      </w:r>
      <w:r/>
    </w:p>
    <w:p>
      <w:pPr>
        <w:ind w:firstLine="560"/>
        <w:spacing w:line="56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合同履行期限：</w:t>
      </w:r>
      <w:r>
        <w:rPr>
          <w:rFonts w:hint="eastAsia" w:ascii="宋体" w:hAnsi="宋体" w:cs="宋体"/>
          <w:color w:val="auto"/>
          <w:sz w:val="24"/>
          <w:szCs w:val="24"/>
          <w:lang w:val="en-US" w:eastAsia="zh-CN"/>
        </w:rPr>
        <w:t xml:space="preserve">自签订合同之日起一年</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本项目（是/否）接受联合体投标：不接受联合体。</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二、申请人的资格要求</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560"/>
        <w:spacing w:line="560" w:lineRule="exact"/>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基本资格条件的承诺（根据供应商提供的承诺函，内容完整且具有法人及法定代表人的印章）。</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（二）落实政府采购政策需满足的资格要求：本项目为非专门面向中小企业的项目。</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560"/>
        <w:spacing w:line="560" w:lineRule="exact"/>
        <w:rPr>
          <w:rFonts w:hint="eastAsia" w:ascii="宋体" w:hAnsi="宋体" w:eastAsia="宋体" w:cs="宋体"/>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投标供应商具有有效的</w:t>
      </w:r>
      <w:r>
        <w:rPr>
          <w:rFonts w:hint="eastAsia" w:ascii="宋体" w:hAnsi="宋体" w:eastAsia="宋体" w:cs="宋体"/>
          <w:sz w:val="24"/>
          <w:szCs w:val="24"/>
          <w:lang w:val="en-US" w:eastAsia="zh-CN"/>
        </w:rPr>
        <w:t xml:space="preserve">营业执照；</w:t>
      </w:r>
      <w:r/>
    </w:p>
    <w:p>
      <w:pPr>
        <w:ind w:firstLine="560"/>
        <w:spacing w:line="560" w:lineRule="exact"/>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投标供应商具有有效的国家文物局颁发的《中华人民共和国考古发掘资质证书》</w:t>
      </w:r>
      <w:r>
        <w:rPr>
          <w:rFonts w:hint="eastAsia" w:ascii="宋体" w:hAnsi="宋体" w:cs="宋体"/>
          <w:sz w:val="24"/>
          <w:szCs w:val="24"/>
          <w:lang w:eastAsia="zh-CN"/>
        </w:rPr>
        <w:t xml:space="preserve">；</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三、获取招标文件</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1.获取时间：自招标文件公告发布之日起5个工作日。（2026</w:t>
      </w:r>
      <w:r>
        <w:rPr>
          <w:rFonts w:hint="eastAsia" w:ascii="宋体" w:hAnsi="宋体" w:eastAsia="宋体" w:cs="宋体"/>
          <w:sz w:val="24"/>
          <w:szCs w:val="24"/>
        </w:rPr>
        <w:t xml:space="preserve">年1</w:t>
      </w:r>
      <w:r>
        <w:rPr>
          <w:rFonts w:hint="eastAsia" w:ascii="宋体" w:hAnsi="宋体" w:eastAsia="宋体" w:cs="宋体"/>
          <w:sz w:val="24"/>
          <w:szCs w:val="24"/>
        </w:rPr>
        <w:t xml:space="preserve">月9</w:t>
      </w:r>
      <w:r>
        <w:rPr>
          <w:rFonts w:hint="eastAsia" w:ascii="宋体" w:hAnsi="宋体" w:eastAsia="宋体" w:cs="宋体"/>
          <w:sz w:val="24"/>
          <w:szCs w:val="24"/>
        </w:rPr>
        <w:t xml:space="preserve">日00：00</w:t>
      </w:r>
      <w:r>
        <w:rPr>
          <w:rFonts w:hint="eastAsia" w:ascii="宋体" w:hAnsi="宋体" w:eastAsia="宋体" w:cs="宋体"/>
          <w:sz w:val="24"/>
          <w:szCs w:val="24"/>
        </w:rPr>
        <w:t xml:space="preserve">至2026</w:t>
      </w:r>
      <w:r>
        <w:rPr>
          <w:rFonts w:hint="eastAsia" w:ascii="宋体" w:hAnsi="宋体" w:eastAsia="宋体" w:cs="宋体"/>
          <w:sz w:val="24"/>
          <w:szCs w:val="24"/>
        </w:rPr>
        <w:t xml:space="preserve">年1</w:t>
      </w:r>
      <w:r>
        <w:rPr>
          <w:rFonts w:hint="eastAsia" w:ascii="宋体" w:hAnsi="宋体" w:eastAsia="宋体" w:cs="宋体"/>
          <w:sz w:val="24"/>
          <w:szCs w:val="24"/>
        </w:rPr>
        <w:t xml:space="preserve">月16</w:t>
      </w:r>
      <w:r>
        <w:rPr>
          <w:rFonts w:hint="eastAsia" w:ascii="宋体" w:hAnsi="宋体" w:eastAsia="宋体" w:cs="宋体"/>
          <w:sz w:val="24"/>
          <w:szCs w:val="24"/>
        </w:rPr>
        <w:t xml:space="preserve">日00：00）</w:t>
      </w:r>
      <w:r>
        <w:rPr>
          <w:rFonts w:hint="eastAsia" w:ascii="宋体" w:hAnsi="宋体" w:eastAsia="宋体" w:cs="宋体"/>
          <w:sz w:val="24"/>
          <w:szCs w:val="24"/>
        </w:rPr>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2.地点：“苏采云”政府采购一体化平台。</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3.获取方式：线上获取。</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4.售价：免费。</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四、提交投标文件截止时间、开标时间和地点</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1.截止时间：202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29</w:t>
      </w:r>
      <w:r>
        <w:rPr>
          <w:rFonts w:hint="eastAsia" w:ascii="宋体" w:hAnsi="宋体" w:eastAsia="宋体" w:cs="宋体"/>
          <w:sz w:val="24"/>
          <w:szCs w:val="24"/>
          <w:lang w:val="en-US" w:eastAsia="zh-CN"/>
        </w:rPr>
        <w:t xml:space="preserve">  14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0（北京时间）。</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2.地点：“苏采云”政府采购一体化平台。</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ind w:firstLine="560"/>
        <w:spacing w:line="560" w:lineRule="exact"/>
        <w:rPr>
          <w:rFonts w:hint="eastAsia" w:ascii="宋体" w:hAnsi="宋体" w:eastAsia="宋体" w:cs="宋体"/>
          <w:sz w:val="24"/>
          <w:szCs w:val="24"/>
        </w:rPr>
      </w:pP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、其他补充事宜</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投标</w:t>
      </w:r>
      <w:r>
        <w:rPr>
          <w:rFonts w:hint="eastAsia" w:ascii="宋体" w:hAnsi="宋体" w:eastAsia="宋体" w:cs="宋体"/>
          <w:sz w:val="24"/>
          <w:szCs w:val="24"/>
        </w:rPr>
        <w:t xml:space="preserve">保证金：无须缴纳。</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2.采购信息发布媒介：江苏政府采购网（www.ccgp-jiangsu.gov.cn）。</w:t>
      </w:r>
      <w:r/>
    </w:p>
    <w:p>
      <w:pPr>
        <w:ind w:firstLine="562"/>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3.注意事项：</w:t>
      </w:r>
      <w:r/>
    </w:p>
    <w:p>
      <w:pPr>
        <w:ind w:firstLine="562"/>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（3）有关本次招标的事项若存在变动或修改，敬请及时关注“江苏政府采购网”发布的更正公告。</w:t>
      </w:r>
      <w:r/>
    </w:p>
    <w:p>
      <w:pPr>
        <w:ind w:firstLine="562"/>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如潜在供应商未按上述要求操作，将自行承担所产生的风险。</w:t>
      </w:r>
      <w:r/>
    </w:p>
    <w:p>
      <w:pPr>
        <w:ind w:firstLine="640"/>
        <w:spacing w:line="520" w:lineRule="exact"/>
        <w:rPr>
          <w:rFonts w:hint="eastAsia" w:ascii="宋体" w:hAnsi="宋体" w:eastAsia="宋体" w:cs="宋体"/>
          <w:color w:val="0d0d0d"/>
          <w:sz w:val="24"/>
          <w:szCs w:val="24"/>
        </w:rPr>
        <w:outlineLvl w:val="1"/>
      </w:pPr>
      <w:r>
        <w:rPr>
          <w:rFonts w:hint="eastAsia" w:ascii="宋体" w:hAnsi="宋体" w:eastAsia="宋体" w:cs="宋体"/>
          <w:color w:val="0d0d0d"/>
          <w:sz w:val="24"/>
          <w:szCs w:val="24"/>
        </w:rPr>
        <w:t xml:space="preserve">八、对本次招标提出询问，请按以下方式联系</w:t>
      </w:r>
      <w:bookmarkEnd w:id="29"/>
      <w:r/>
      <w:bookmarkEnd w:id="30"/>
      <w:r/>
      <w:bookmarkEnd w:id="31"/>
      <w:r/>
      <w:bookmarkEnd w:id="32"/>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56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泰兴市城区工业园区管理办公室</w:t>
      </w:r>
      <w:r/>
    </w:p>
    <w:p>
      <w:pPr>
        <w:ind w:firstLine="56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单位地址：</w:t>
      </w:r>
      <w:r>
        <w:rPr>
          <w:rFonts w:hint="eastAsia" w:ascii="宋体" w:hAnsi="宋体" w:eastAsia="宋体" w:cs="宋体"/>
          <w:sz w:val="24"/>
          <w:szCs w:val="24"/>
          <w:lang w:eastAsia="zh-CN"/>
        </w:rPr>
        <w:t xml:space="preserve">江苏省泰州市泰兴市城区工业园区内向荣路18号科技中心大楼</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杨睿海</w:t>
      </w:r>
      <w:r>
        <w:rPr>
          <w:rFonts w:hint="eastAsia" w:ascii="宋体" w:hAnsi="宋体" w:eastAsia="宋体" w:cs="宋体"/>
          <w:sz w:val="24"/>
          <w:szCs w:val="24"/>
        </w:rPr>
        <w:t xml:space="preserve"> </w:t>
      </w:r>
      <w:r/>
    </w:p>
    <w:p>
      <w:pPr>
        <w:ind w:firstLine="56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18101437888</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2.采购代理机构信息（如有）</w:t>
      </w:r>
      <w:r/>
    </w:p>
    <w:p>
      <w:pPr>
        <w:ind w:firstLine="56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泰州诚兴项目管理有限公司</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单位地址：泰兴市城东高新区戴王路东侧</w:t>
      </w:r>
      <w:r/>
    </w:p>
    <w:p>
      <w:pPr>
        <w:ind w:firstLine="56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cs="宋体"/>
          <w:sz w:val="24"/>
          <w:szCs w:val="24"/>
          <w:lang w:eastAsia="zh-CN"/>
        </w:rPr>
        <w:t xml:space="preserve">叶佩</w:t>
      </w:r>
      <w:r/>
    </w:p>
    <w:p>
      <w:pPr>
        <w:ind w:firstLine="56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r>
        <w:rPr>
          <w:rFonts w:hint="eastAsia" w:ascii="宋体" w:hAnsi="宋体" w:cs="宋体"/>
          <w:sz w:val="24"/>
          <w:szCs w:val="24"/>
          <w:lang w:eastAsia="zh-CN"/>
        </w:rPr>
        <w:t xml:space="preserve">18352623780</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56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项目联系人：</w:t>
      </w:r>
      <w:r>
        <w:rPr>
          <w:rFonts w:hint="eastAsia" w:ascii="宋体" w:hAnsi="宋体" w:cs="宋体"/>
          <w:sz w:val="24"/>
          <w:szCs w:val="24"/>
          <w:lang w:eastAsia="zh-CN"/>
        </w:rPr>
        <w:t xml:space="preserve">叶佩</w:t>
      </w:r>
      <w:r/>
    </w:p>
    <w:p>
      <w:pPr>
        <w:ind w:firstLine="560"/>
        <w:spacing w:line="500" w:lineRule="exact"/>
        <w:rPr>
          <w:rFonts w:hint="eastAsia" w:ascii="宋体" w:hAnsi="宋体" w:eastAsia="宋体" w:cs="宋体"/>
          <w:b/>
          <w:color w:val="0d0d0d"/>
          <w:sz w:val="40"/>
          <w:szCs w:val="40"/>
        </w:rPr>
      </w:pPr>
      <w:r>
        <w:rPr>
          <w:rFonts w:hint="eastAsia" w:ascii="宋体" w:hAnsi="宋体" w:eastAsia="宋体" w:cs="宋体"/>
          <w:sz w:val="24"/>
          <w:szCs w:val="24"/>
        </w:rPr>
        <w:t xml:space="preserve">电　话：</w:t>
      </w:r>
      <w:r>
        <w:rPr>
          <w:rFonts w:hint="eastAsia" w:ascii="宋体" w:hAnsi="宋体" w:cs="宋体"/>
          <w:sz w:val="24"/>
          <w:szCs w:val="24"/>
          <w:lang w:eastAsia="zh-CN"/>
        </w:rPr>
        <w:t xml:space="preserve">18352623780</w:t>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jc w:val="both"/>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r>
      <w:r/>
    </w:p>
    <w:p>
      <w:pPr>
        <w:ind w:left="646"/>
        <w:jc w:val="center"/>
        <w:spacing w:line="520" w:lineRule="exact"/>
        <w:tabs>
          <w:tab w:val="left" w:pos="3240" w:leader="none"/>
        </w:tabs>
        <w:rPr>
          <w:rFonts w:hint="eastAsia" w:asciiTheme="minorEastAsia" w:hAnsiTheme="minorEastAsia" w:eastAsiaTheme="minorEastAsia"/>
          <w:b/>
          <w:sz w:val="32"/>
          <w:szCs w:val="32"/>
        </w:rPr>
        <w:outlineLvl w:val="0"/>
      </w:pPr>
      <w:r>
        <w:rPr>
          <w:rFonts w:hint="eastAsia" w:asciiTheme="minorEastAsia" w:hAnsiTheme="minorEastAsia" w:eastAsiaTheme="minorEastAsia"/>
          <w:b/>
          <w:sz w:val="32"/>
          <w:szCs w:val="32"/>
        </w:rPr>
        <w:t xml:space="preserve">第二章</w:t>
      </w:r>
      <w:r>
        <w:rPr>
          <w:rFonts w:hint="eastAsia" w:asciiTheme="minorEastAsia" w:hAnsiTheme="minorEastAsia" w:eastAsiaTheme="minorEastAsia"/>
          <w:b/>
          <w:sz w:val="32"/>
          <w:szCs w:val="32"/>
          <w:lang w:val="en-US" w:eastAsia="zh-CN"/>
        </w:rPr>
        <w:t xml:space="preserve">  </w:t>
      </w:r>
      <w:r>
        <w:rPr>
          <w:rFonts w:hint="eastAsia" w:asciiTheme="minorEastAsia" w:hAnsiTheme="minorEastAsia" w:eastAsiaTheme="minorEastAsia"/>
          <w:b/>
          <w:sz w:val="32"/>
          <w:szCs w:val="32"/>
        </w:rPr>
        <w:t xml:space="preserve">投标人须知</w:t>
      </w:r>
      <w:r/>
    </w:p>
    <w:p>
      <w:pPr>
        <w:ind w:firstLine="475"/>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投标人须知前附表</w:t>
      </w:r>
      <w:r/>
    </w:p>
    <w:tbl>
      <w:tblPr>
        <w:tblStyle w:val="834"/>
        <w:tblpPr w:horzAnchor="page" w:tblpX="1797" w:vertAnchor="text" w:tblpY="376" w:leftFromText="180" w:topFromText="0" w:rightFromText="180" w:bottomFromText="0"/>
        <w:tblW w:w="9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2109"/>
        <w:gridCol w:w="6413"/>
        <w:gridCol w:w="12"/>
      </w:tblGrid>
      <w:tr>
        <w:trPr>
          <w:gridAfter w:val="1"/>
          <w:trHeight w:val="510"/>
        </w:trPr>
        <w:tc>
          <w:tcPr>
            <w:tcW w:w="925" w:type="dxa"/>
            <w:vAlign w:val="center"/>
            <w:textDirection w:val="lrTb"/>
            <w:noWrap w:val="false"/>
          </w:tcPr>
          <w:p>
            <w:pPr>
              <w:jc w:val="center"/>
              <w:spacing w:line="400" w:lineRule="exact"/>
              <w:rPr>
                <w:rFonts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rPr>
              <w:t xml:space="preserve">条款号</w:t>
            </w:r>
            <w:r/>
          </w:p>
        </w:tc>
        <w:tc>
          <w:tcPr>
            <w:tcW w:w="2109" w:type="dxa"/>
            <w:vAlign w:val="center"/>
            <w:textDirection w:val="lrTb"/>
            <w:noWrap w:val="false"/>
          </w:tcPr>
          <w:p>
            <w:pPr>
              <w:jc w:val="center"/>
              <w:spacing w:line="400" w:lineRule="exact"/>
              <w:rPr>
                <w:rFonts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rPr>
              <w:t xml:space="preserve">条款名称</w:t>
            </w:r>
            <w:r/>
          </w:p>
        </w:tc>
        <w:tc>
          <w:tcPr>
            <w:tcW w:w="6413" w:type="dxa"/>
            <w:vAlign w:val="center"/>
            <w:textDirection w:val="lrTb"/>
            <w:noWrap w:val="false"/>
          </w:tcPr>
          <w:p>
            <w:pPr>
              <w:jc w:val="center"/>
              <w:spacing w:line="400" w:lineRule="exact"/>
              <w:rPr>
                <w:rFonts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rPr>
              <w:t xml:space="preserve">编列内容</w:t>
            </w:r>
            <w:r/>
          </w:p>
        </w:tc>
      </w:tr>
      <w:tr>
        <w:trPr>
          <w:gridAfter w:val="1"/>
          <w:trHeight w:val="1615"/>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1.1.2</w:t>
            </w:r>
            <w:r/>
          </w:p>
        </w:tc>
        <w:tc>
          <w:tcPr>
            <w:tcW w:w="2109" w:type="dxa"/>
            <w:vAlign w:val="center"/>
            <w:textDirection w:val="lrTb"/>
            <w:noWrap w:val="false"/>
          </w:tcPr>
          <w:p>
            <w:pPr>
              <w:pStyle w:val="953"/>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采购人</w:t>
            </w:r>
            <w:r/>
          </w:p>
        </w:tc>
        <w:tc>
          <w:tcPr>
            <w:tcW w:w="6413" w:type="dxa"/>
            <w:vAlign w:val="center"/>
            <w:textDirection w:val="lrTb"/>
            <w:noWrap w:val="false"/>
          </w:tcPr>
          <w:p>
            <w:pPr>
              <w:jc w:val="left"/>
              <w:spacing w:line="24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名称：</w:t>
            </w:r>
            <w:r>
              <w:rPr>
                <w:rFonts w:hint="eastAsia" w:asciiTheme="minorEastAsia" w:hAnsiTheme="minorEastAsia" w:eastAsiaTheme="minorEastAsia" w:cstheme="minorEastAsia"/>
                <w:sz w:val="22"/>
                <w:szCs w:val="22"/>
                <w:lang w:eastAsia="zh-CN"/>
              </w:rPr>
              <w:t xml:space="preserve">泰兴市城区工业园区管理办公室</w:t>
            </w:r>
            <w:r/>
          </w:p>
          <w:p>
            <w:pPr>
              <w:ind w:left="660" w:hanging="660"/>
              <w:jc w:val="left"/>
              <w:spacing w:line="24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地址：</w:t>
            </w:r>
            <w:r>
              <w:rPr>
                <w:rFonts w:hint="eastAsia" w:asciiTheme="minorEastAsia" w:hAnsiTheme="minorEastAsia" w:eastAsiaTheme="minorEastAsia" w:cstheme="minorEastAsia"/>
                <w:sz w:val="22"/>
                <w:szCs w:val="22"/>
                <w:lang w:eastAsia="zh-CN"/>
              </w:rPr>
              <w:t xml:space="preserve">江苏省泰州市泰兴市城区工业园区内向荣路18号科技中心大楼</w:t>
            </w:r>
            <w:r/>
          </w:p>
          <w:p>
            <w:pPr>
              <w:jc w:val="left"/>
              <w:spacing w:line="24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联系人：</w:t>
            </w:r>
            <w:r>
              <w:rPr>
                <w:rFonts w:hint="eastAsia" w:asciiTheme="minorEastAsia" w:hAnsiTheme="minorEastAsia" w:eastAsiaTheme="minorEastAsia" w:cstheme="minorEastAsia"/>
                <w:sz w:val="22"/>
                <w:szCs w:val="22"/>
                <w:lang w:eastAsia="zh-CN"/>
              </w:rPr>
              <w:t xml:space="preserve">杨睿海</w:t>
            </w:r>
            <w:r/>
          </w:p>
          <w:p>
            <w:pPr>
              <w:jc w:val="left"/>
              <w:spacing w:line="24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联系电话</w:t>
            </w:r>
            <w:r>
              <w:rPr>
                <w:rFonts w:hint="eastAsia" w:asciiTheme="minorEastAsia" w:hAnsiTheme="minorEastAsia" w:eastAsiaTheme="minorEastAsia" w:cstheme="minorEastAsia"/>
                <w:sz w:val="22"/>
                <w:szCs w:val="22"/>
                <w:lang w:eastAsia="zh-CN"/>
              </w:rPr>
              <w:t xml:space="preserve">：18101437888</w:t>
            </w:r>
            <w:r/>
          </w:p>
        </w:tc>
      </w:tr>
      <w:tr>
        <w:trPr>
          <w:gridAfter w:val="1"/>
          <w:trHeight w:val="1295"/>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1.1.3</w:t>
            </w:r>
            <w:r/>
          </w:p>
        </w:tc>
        <w:tc>
          <w:tcPr>
            <w:tcW w:w="2109" w:type="dxa"/>
            <w:vAlign w:val="center"/>
            <w:textDirection w:val="lrTb"/>
            <w:noWrap w:val="false"/>
          </w:tcPr>
          <w:p>
            <w:pPr>
              <w:pStyle w:val="953"/>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采购代理机构</w:t>
            </w:r>
            <w:r/>
          </w:p>
        </w:tc>
        <w:tc>
          <w:tcPr>
            <w:tcW w:w="6413" w:type="dxa"/>
            <w:vAlign w:val="center"/>
            <w:textDirection w:val="lrTb"/>
            <w:noWrap w:val="false"/>
          </w:tcPr>
          <w:p>
            <w:pPr>
              <w:jc w:val="left"/>
              <w:spacing w:line="24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名称：</w:t>
            </w:r>
            <w:r>
              <w:rPr>
                <w:rFonts w:hint="eastAsia" w:asciiTheme="minorEastAsia" w:hAnsiTheme="minorEastAsia" w:eastAsiaTheme="minorEastAsia" w:cstheme="minorEastAsia"/>
                <w:sz w:val="22"/>
                <w:szCs w:val="22"/>
                <w:lang w:eastAsia="zh-CN"/>
              </w:rPr>
              <w:t xml:space="preserve">泰州诚兴项目管理有限公司</w:t>
            </w:r>
            <w:r/>
          </w:p>
          <w:p>
            <w:pPr>
              <w:jc w:val="left"/>
              <w:spacing w:line="24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地址：</w:t>
            </w:r>
            <w:r>
              <w:rPr>
                <w:rFonts w:hint="eastAsia" w:asciiTheme="minorEastAsia" w:hAnsiTheme="minorEastAsia" w:eastAsiaTheme="minorEastAsia" w:cstheme="minorEastAsia"/>
                <w:sz w:val="22"/>
                <w:szCs w:val="22"/>
                <w:lang w:eastAsia="zh-CN"/>
              </w:rPr>
              <w:t xml:space="preserve">泰兴市城东高新区戴王路东侧</w:t>
            </w:r>
            <w:r/>
          </w:p>
          <w:p>
            <w:pPr>
              <w:jc w:val="left"/>
              <w:spacing w:line="24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联系人：</w:t>
            </w:r>
            <w:r>
              <w:rPr>
                <w:rFonts w:hint="eastAsia" w:asciiTheme="minorEastAsia" w:hAnsiTheme="minorEastAsia" w:eastAsiaTheme="minorEastAsia" w:cstheme="minorEastAsia"/>
                <w:sz w:val="22"/>
                <w:szCs w:val="22"/>
                <w:lang w:eastAsia="zh-CN"/>
              </w:rPr>
              <w:t xml:space="preserve">叶佩</w:t>
            </w:r>
            <w:r/>
          </w:p>
          <w:p>
            <w:pPr>
              <w:jc w:val="left"/>
              <w:spacing w:line="24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电话：</w:t>
            </w:r>
            <w:r>
              <w:rPr>
                <w:rFonts w:hint="eastAsia" w:asciiTheme="minorEastAsia" w:hAnsiTheme="minorEastAsia" w:eastAsiaTheme="minorEastAsia" w:cstheme="minorEastAsia"/>
                <w:sz w:val="22"/>
                <w:szCs w:val="22"/>
                <w:lang w:eastAsia="zh-CN"/>
              </w:rPr>
              <w:t xml:space="preserve">18352623780</w:t>
            </w:r>
            <w:r/>
          </w:p>
        </w:tc>
      </w:tr>
      <w:tr>
        <w:trPr>
          <w:gridAfter w:val="1"/>
          <w:trHeight w:val="651"/>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1.1.4</w:t>
            </w:r>
            <w:r/>
          </w:p>
        </w:tc>
        <w:tc>
          <w:tcPr>
            <w:tcW w:w="2109" w:type="dxa"/>
            <w:vAlign w:val="center"/>
            <w:textDirection w:val="lrTb"/>
            <w:noWrap w:val="false"/>
          </w:tcPr>
          <w:p>
            <w:pPr>
              <w:pStyle w:val="953"/>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项目名称及编号</w:t>
            </w:r>
            <w:r/>
          </w:p>
        </w:tc>
        <w:tc>
          <w:tcPr>
            <w:tcW w:w="6413" w:type="dxa"/>
            <w:vAlign w:val="center"/>
            <w:textDirection w:val="lrTb"/>
            <w:noWrap w:val="false"/>
          </w:tcPr>
          <w:p>
            <w:pPr>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 xml:space="preserve">城区工业园区军民路南侧项目、根思路南侧项目、阳江路南侧项目等地块考古调查、勘探服务项目</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JSZC-321283-TZCX-G2025-0005 </w:t>
            </w:r>
            <w:r>
              <w:rPr>
                <w:rFonts w:hint="eastAsia" w:asciiTheme="minorEastAsia" w:hAnsiTheme="minorEastAsia" w:eastAsiaTheme="minorEastAsia" w:cstheme="minorEastAsia"/>
                <w:sz w:val="22"/>
                <w:szCs w:val="22"/>
              </w:rPr>
              <w:t xml:space="preserve">）</w:t>
            </w:r>
            <w:r/>
          </w:p>
        </w:tc>
      </w:tr>
      <w:tr>
        <w:trPr>
          <w:gridAfter w:val="1"/>
          <w:trHeight w:val="505"/>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bookmarkStart w:id="33" w:name="_Hlk205310818"/>
            <w:r>
              <w:rPr>
                <w:rFonts w:hint="eastAsia" w:asciiTheme="minorEastAsia" w:hAnsiTheme="minorEastAsia" w:eastAsiaTheme="minorEastAsia" w:cstheme="minorEastAsia"/>
                <w:sz w:val="22"/>
                <w:szCs w:val="22"/>
              </w:rPr>
              <w:t xml:space="preserve">1.2.1</w:t>
            </w:r>
            <w:r/>
          </w:p>
        </w:tc>
        <w:tc>
          <w:tcPr>
            <w:tcW w:w="2109" w:type="dxa"/>
            <w:vAlign w:val="center"/>
            <w:textDirection w:val="lrTb"/>
            <w:noWrap w:val="false"/>
          </w:tcPr>
          <w:p>
            <w:pPr>
              <w:pStyle w:val="953"/>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auto"/>
                <w:sz w:val="22"/>
                <w:szCs w:val="22"/>
              </w:rPr>
              <w:t xml:space="preserve">付款方式</w:t>
            </w:r>
            <w:r/>
          </w:p>
        </w:tc>
        <w:tc>
          <w:tcPr>
            <w:tcW w:w="6413" w:type="dxa"/>
            <w:vAlign w:val="center"/>
            <w:textDirection w:val="lrTb"/>
            <w:noWrap w:val="false"/>
          </w:tcPr>
          <w:p>
            <w:pPr>
              <w:ind w:left="19"/>
              <w:jc w:val="left"/>
              <w:spacing w:line="240" w:lineRule="auto"/>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color w:val="auto"/>
                <w:sz w:val="22"/>
                <w:szCs w:val="22"/>
              </w:rPr>
              <w:t xml:space="preserve">本合同为固定总价合同,合同总价不予调整，合同签订后完成全部工作量并与之相关的一切工作，出具符合招标人及省文物局、其他相关权威部门认可且满足土地上市要求的正式考古调查、勘探报告，并通过省文物局验收、批复后，由中标人，提供符合招标人财务规定的增值税专用发票后三十个工作日内一次性付清。（所有款项均不计利息）</w:t>
            </w:r>
            <w:bookmarkEnd w:id="33"/>
            <w:r/>
            <w:r/>
          </w:p>
        </w:tc>
      </w:tr>
      <w:tr>
        <w:trPr>
          <w:gridAfter w:val="1"/>
          <w:trHeight w:val="497"/>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1.3.1</w:t>
            </w:r>
            <w:r/>
          </w:p>
        </w:tc>
        <w:tc>
          <w:tcPr>
            <w:tcW w:w="2109" w:type="dxa"/>
            <w:vAlign w:val="center"/>
            <w:textDirection w:val="lrTb"/>
            <w:noWrap w:val="false"/>
          </w:tcPr>
          <w:p>
            <w:pPr>
              <w:pStyle w:val="953"/>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采购范围</w:t>
            </w:r>
            <w:r/>
          </w:p>
        </w:tc>
        <w:tc>
          <w:tcPr>
            <w:tcW w:w="6413" w:type="dxa"/>
            <w:vAlign w:val="center"/>
            <w:textDirection w:val="lrTb"/>
            <w:noWrap w:val="false"/>
          </w:tcPr>
          <w:p>
            <w:pPr>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见第五章 采购需求</w:t>
            </w:r>
            <w:r/>
          </w:p>
        </w:tc>
      </w:tr>
      <w:tr>
        <w:trPr>
          <w:gridAfter w:val="1"/>
          <w:trHeight w:val="720"/>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1.3.2</w:t>
            </w:r>
            <w:r/>
          </w:p>
        </w:tc>
        <w:tc>
          <w:tcPr>
            <w:tcW w:w="2109" w:type="dxa"/>
            <w:vAlign w:val="center"/>
            <w:textDirection w:val="lrTb"/>
            <w:noWrap w:val="false"/>
          </w:tcPr>
          <w:p>
            <w:pPr>
              <w:pStyle w:val="953"/>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合同履行期限</w:t>
            </w:r>
            <w:r/>
          </w:p>
        </w:tc>
        <w:tc>
          <w:tcPr>
            <w:tcW w:w="6413" w:type="dxa"/>
            <w:vAlign w:val="center"/>
            <w:textDirection w:val="lrTb"/>
            <w:noWrap w:val="false"/>
          </w:tcPr>
          <w:p>
            <w:pPr>
              <w:jc w:val="left"/>
              <w:spacing w:line="24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bCs/>
                <w:sz w:val="22"/>
                <w:szCs w:val="22"/>
              </w:rPr>
              <w:t xml:space="preserve">详见采购公告</w:t>
            </w:r>
            <w:r/>
          </w:p>
        </w:tc>
      </w:tr>
      <w:tr>
        <w:trPr>
          <w:gridAfter w:val="1"/>
          <w:trHeight w:val="754"/>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1.4.2</w:t>
            </w:r>
            <w:r/>
          </w:p>
        </w:tc>
        <w:tc>
          <w:tcPr>
            <w:tcW w:w="2109" w:type="dxa"/>
            <w:vAlign w:val="center"/>
            <w:textDirection w:val="lrTb"/>
            <w:noWrap w:val="false"/>
          </w:tcPr>
          <w:p>
            <w:pPr>
              <w:pStyle w:val="953"/>
              <w:ind w:left="120"/>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要求投标人具备的特定条件</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见采购公告</w:t>
            </w:r>
            <w:r/>
          </w:p>
        </w:tc>
      </w:tr>
      <w:tr>
        <w:trPr>
          <w:gridAfter w:val="1"/>
          <w:trHeight w:val="460"/>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1.8.2</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偏离</w:t>
            </w:r>
            <w:r/>
          </w:p>
        </w:tc>
        <w:tc>
          <w:tcPr>
            <w:tcW w:w="6413" w:type="dxa"/>
            <w:textDirection w:val="lrTb"/>
            <w:noWrap w:val="false"/>
          </w:tcPr>
          <w:p>
            <w:pP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不允许负偏离，否则将做无效标处理。</w:t>
            </w:r>
            <w:r/>
          </w:p>
          <w:p>
            <w:pP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供应商应仔细阅读采购需求和评标办法，结合自身的实际情况，如实填写采购需求响应表。</w:t>
            </w:r>
            <w:r/>
          </w:p>
        </w:tc>
      </w:tr>
      <w:tr>
        <w:trPr>
          <w:gridAfter w:val="1"/>
          <w:trHeight w:val="246"/>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2.1</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构成招标文件的其他材料</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无</w:t>
            </w:r>
            <w:r/>
          </w:p>
        </w:tc>
      </w:tr>
      <w:tr>
        <w:trPr>
          <w:gridAfter w:val="1"/>
          <w:trHeight w:val="246"/>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2.2</w:t>
            </w:r>
            <w:r/>
          </w:p>
        </w:tc>
        <w:tc>
          <w:tcPr>
            <w:tcW w:w="2109" w:type="dxa"/>
            <w:vAlign w:val="center"/>
            <w:textDirection w:val="lrTb"/>
            <w:noWrap w:val="false"/>
          </w:tcPr>
          <w:p>
            <w:pP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投标人要求澄清招标文件的截止时间</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202</w:t>
            </w:r>
            <w:r>
              <w:rPr>
                <w:rFonts w:hint="eastAsia" w:asciiTheme="minorEastAsia" w:hAnsiTheme="minorEastAsia" w:eastAsiaTheme="minorEastAsia" w:cstheme="minorEastAsia"/>
                <w:bCs/>
                <w:sz w:val="22"/>
                <w:szCs w:val="22"/>
                <w:lang w:val="en-US" w:eastAsia="zh-CN"/>
              </w:rPr>
              <w:t xml:space="preserve">6</w:t>
            </w:r>
            <w:r>
              <w:rPr>
                <w:rFonts w:hint="eastAsia" w:asciiTheme="minorEastAsia" w:hAnsiTheme="minorEastAsia" w:eastAsiaTheme="minorEastAsia" w:cstheme="minorEastAsia"/>
                <w:bCs/>
                <w:sz w:val="22"/>
                <w:szCs w:val="22"/>
              </w:rPr>
              <w:t xml:space="preserve">年</w:t>
            </w:r>
            <w:r>
              <w:rPr>
                <w:rFonts w:hint="eastAsia" w:asciiTheme="minorEastAsia" w:hAnsiTheme="minorEastAsia" w:eastAsiaTheme="minorEastAsia" w:cstheme="minorEastAsia"/>
                <w:bCs/>
                <w:sz w:val="22"/>
                <w:szCs w:val="22"/>
                <w:lang w:val="en-US" w:eastAsia="zh-CN"/>
              </w:rPr>
              <w:t xml:space="preserve">1</w:t>
            </w:r>
            <w:r>
              <w:rPr>
                <w:rFonts w:hint="eastAsia" w:asciiTheme="minorEastAsia" w:hAnsiTheme="minorEastAsia" w:eastAsiaTheme="minorEastAsia" w:cstheme="minorEastAsia"/>
                <w:bCs/>
                <w:sz w:val="22"/>
                <w:szCs w:val="22"/>
              </w:rPr>
              <w:t xml:space="preserve">月</w:t>
            </w:r>
            <w:r>
              <w:rPr>
                <w:rFonts w:hint="eastAsia" w:asciiTheme="minorEastAsia" w:hAnsiTheme="minorEastAsia" w:eastAsiaTheme="minorEastAsia" w:cstheme="minorEastAsia"/>
                <w:bCs/>
                <w:sz w:val="22"/>
                <w:szCs w:val="22"/>
                <w:lang w:val="en-US" w:eastAsia="zh-CN"/>
              </w:rPr>
              <w:t xml:space="preserve">16</w:t>
            </w:r>
            <w:r>
              <w:rPr>
                <w:rFonts w:hint="eastAsia" w:asciiTheme="minorEastAsia" w:hAnsiTheme="minorEastAsia" w:eastAsiaTheme="minorEastAsia" w:cstheme="minorEastAsia"/>
                <w:bCs/>
                <w:sz w:val="22"/>
                <w:szCs w:val="22"/>
              </w:rPr>
              <w:t xml:space="preserve">日17时30分</w:t>
            </w:r>
            <w:r/>
          </w:p>
        </w:tc>
      </w:tr>
      <w:tr>
        <w:trPr>
          <w:gridAfter w:val="1"/>
          <w:trHeight w:val="548"/>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3.1</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投标文件的组成</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（1）开标一览表；</w:t>
            </w:r>
            <w:r/>
          </w:p>
          <w:p>
            <w:pP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（2）投标函；</w:t>
            </w:r>
            <w:r/>
          </w:p>
          <w:p>
            <w:pP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（3）投标报价明细表及分析说明；</w:t>
            </w:r>
            <w:r/>
          </w:p>
          <w:p>
            <w:pP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（4）投标人资格条件证明文件；</w:t>
            </w:r>
            <w:r/>
          </w:p>
          <w:p>
            <w:pP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（5）采购需求响应表；</w:t>
            </w:r>
            <w:r/>
          </w:p>
          <w:p>
            <w:pPr>
              <w:spacing w:line="24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（6）对照第三章资格审查及评标办法，认为应列入投标文件的其他材料。</w:t>
            </w:r>
            <w:r/>
          </w:p>
        </w:tc>
      </w:tr>
      <w:tr>
        <w:trPr>
          <w:gridAfter w:val="1"/>
          <w:trHeight w:val="589"/>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3.3.1</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投标有效期</w:t>
            </w:r>
            <w:r/>
          </w:p>
        </w:tc>
        <w:tc>
          <w:tcPr>
            <w:tcW w:w="6413" w:type="dxa"/>
            <w:vAlign w:val="center"/>
            <w:textDirection w:val="lrTb"/>
            <w:noWrap w:val="false"/>
          </w:tcPr>
          <w:p>
            <w:pPr>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60日历天</w:t>
            </w:r>
            <w:r/>
          </w:p>
        </w:tc>
      </w:tr>
      <w:tr>
        <w:trPr>
          <w:gridAfter w:val="1"/>
          <w:trHeight w:val="440"/>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3.4.3</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投标文件的份数</w:t>
            </w:r>
            <w:r/>
          </w:p>
        </w:tc>
        <w:tc>
          <w:tcPr>
            <w:tcW w:w="6413" w:type="dxa"/>
            <w:vAlign w:val="center"/>
            <w:textDirection w:val="lrTb"/>
            <w:noWrap w:val="false"/>
          </w:tcPr>
          <w:p>
            <w:pPr>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电子投标文件壹份；</w:t>
            </w:r>
            <w:r/>
          </w:p>
        </w:tc>
      </w:tr>
      <w:tr>
        <w:trPr>
          <w:gridAfter w:val="1"/>
          <w:trHeight w:val="1385"/>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3.4.4</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投标文件的签署</w:t>
            </w:r>
            <w:r/>
          </w:p>
        </w:tc>
        <w:tc>
          <w:tcPr>
            <w:tcW w:w="6413" w:type="dxa"/>
            <w:vAlign w:val="center"/>
            <w:textDirection w:val="lrTb"/>
            <w:noWrap w:val="false"/>
          </w:tcPr>
          <w:p>
            <w:pPr>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1.投标函、供应商基本资格条件承诺函中须加盖供应商投标人公章并经法定代表人签字或签章。</w:t>
            </w:r>
            <w:r/>
          </w:p>
          <w:p>
            <w:pPr>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2.投标文件中的任何重要的插字、涂改和增删，修改处须有法定代表人签章或签字。</w:t>
            </w:r>
            <w:r/>
          </w:p>
        </w:tc>
      </w:tr>
      <w:tr>
        <w:trPr>
          <w:gridAfter w:val="1"/>
          <w:trHeight w:val="855"/>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5.1.1</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开标时间和地点</w:t>
            </w:r>
            <w:r/>
          </w:p>
        </w:tc>
        <w:tc>
          <w:tcPr>
            <w:tcW w:w="6413" w:type="dxa"/>
            <w:vAlign w:val="center"/>
            <w:textDirection w:val="lrTb"/>
            <w:noWrap w:val="false"/>
          </w:tcPr>
          <w:p>
            <w:pPr>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开标时间：同投标截止时间</w:t>
            </w:r>
            <w:r/>
          </w:p>
          <w:p>
            <w:pPr>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开标地点：“苏采云”系统“开标大厅”</w:t>
            </w:r>
            <w:r/>
          </w:p>
        </w:tc>
      </w:tr>
      <w:tr>
        <w:trPr>
          <w:gridAfter w:val="1"/>
          <w:trHeight w:val="980"/>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5.1.2</w:t>
            </w:r>
            <w:r/>
          </w:p>
        </w:tc>
        <w:tc>
          <w:tcPr>
            <w:tcW w:w="2109" w:type="dxa"/>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投标人法定代表人或其委托代表出席开标会议的要求</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开标活动将在采购公告中规定的时间和地点进行。投标人应当按照《江苏省政府采购管理交易系统（苏采云）投标人操作手册》规定，参加开标活动。</w:t>
            </w:r>
            <w:r/>
          </w:p>
        </w:tc>
      </w:tr>
      <w:tr>
        <w:trPr>
          <w:gridAfter w:val="1"/>
          <w:trHeight w:val="775"/>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6.1.1</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评标委员会</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评标委员会人数：5人。</w:t>
            </w:r>
            <w:r/>
          </w:p>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其中专家评委随机抽取4</w:t>
            </w:r>
            <w:r>
              <w:rPr>
                <w:rFonts w:hint="eastAsia" w:asciiTheme="minorEastAsia" w:hAnsiTheme="minorEastAsia" w:eastAsiaTheme="minorEastAsia" w:cstheme="minorEastAsia"/>
                <w:sz w:val="22"/>
                <w:szCs w:val="22"/>
              </w:rPr>
              <w:t xml:space="preserve">人</w:t>
            </w:r>
            <w:r>
              <w:rPr>
                <w:rFonts w:hint="eastAsia" w:asciiTheme="minorEastAsia" w:hAnsiTheme="minorEastAsia" w:eastAsiaTheme="minorEastAsia" w:cstheme="minorEastAsia"/>
                <w:sz w:val="22"/>
                <w:szCs w:val="22"/>
              </w:rPr>
              <w:t xml:space="preserve">，采购人代表1人。</w:t>
            </w:r>
            <w:r/>
          </w:p>
        </w:tc>
      </w:tr>
      <w:tr>
        <w:trPr>
          <w:gridAfter w:val="1"/>
          <w:trHeight w:val="650"/>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7.2.1</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中标公告媒介</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江苏政府采购网（www.ccgp-jiangsu.gov.cn）</w:t>
            </w:r>
            <w:r/>
          </w:p>
        </w:tc>
      </w:tr>
      <w:tr>
        <w:trPr>
          <w:gridAfter w:val="1"/>
          <w:trHeight w:val="1740"/>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8.1.1</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履约保证金</w:t>
            </w:r>
            <w:r/>
          </w:p>
        </w:tc>
        <w:tc>
          <w:tcPr>
            <w:tcW w:w="6413" w:type="dxa"/>
            <w:vAlign w:val="center"/>
            <w:textDirection w:val="lrTb"/>
            <w:noWrap w:val="false"/>
          </w:tcPr>
          <w:p>
            <w:pPr>
              <w:pStyle w:val="953"/>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（1）履约保证金形式: 银行电汇或网上银行支付、支票、汇票、本票或者金融机构、担保机构出具的保函等法律法规允许的形式。</w:t>
            </w:r>
            <w:r/>
          </w:p>
          <w:p>
            <w:pPr>
              <w:pStyle w:val="953"/>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（2）金额：中标总价*</w:t>
            </w:r>
            <w:r>
              <w:rPr>
                <w:rFonts w:hint="eastAsia" w:asciiTheme="minorEastAsia" w:hAnsiTheme="minorEastAsia" w:eastAsiaTheme="minorEastAsia" w:cstheme="minorEastAsia"/>
                <w:color w:val="auto"/>
                <w:sz w:val="22"/>
                <w:szCs w:val="22"/>
                <w:lang w:val="en-US" w:eastAsia="zh-CN"/>
              </w:rPr>
              <w:t xml:space="preserve">10</w:t>
            </w:r>
            <w:r>
              <w:rPr>
                <w:rFonts w:hint="eastAsia" w:asciiTheme="minorEastAsia" w:hAnsiTheme="minorEastAsia" w:eastAsiaTheme="minorEastAsia" w:cstheme="minorEastAsia"/>
                <w:color w:val="auto"/>
                <w:sz w:val="22"/>
                <w:szCs w:val="22"/>
              </w:rPr>
              <w:t xml:space="preserve">%。</w:t>
            </w:r>
            <w:r/>
          </w:p>
          <w:p>
            <w:pPr>
              <w:pStyle w:val="953"/>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（3）缴纳时间：在确定中标人之后,签订采购合同前。</w:t>
            </w:r>
            <w:r/>
          </w:p>
          <w:p>
            <w:pPr>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（4）退还时间：合同履约结束验收合格后退还。</w:t>
            </w:r>
            <w:r/>
          </w:p>
        </w:tc>
      </w:tr>
      <w:tr>
        <w:trPr>
          <w:gridAfter w:val="1"/>
          <w:trHeight w:val="615"/>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8.2</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签订合同的时间要求</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自中标通知书发出之日起</w:t>
            </w:r>
            <w:r>
              <w:rPr>
                <w:rFonts w:hint="eastAsia" w:asciiTheme="minorEastAsia" w:hAnsiTheme="minorEastAsia" w:eastAsiaTheme="minorEastAsia" w:cstheme="minorEastAsia"/>
                <w:sz w:val="22"/>
                <w:szCs w:val="22"/>
                <w:u w:val="single"/>
              </w:rPr>
              <w:t xml:space="preserve">30日</w:t>
            </w:r>
            <w:r>
              <w:rPr>
                <w:rFonts w:hint="eastAsia" w:asciiTheme="minorEastAsia" w:hAnsiTheme="minorEastAsia" w:eastAsiaTheme="minorEastAsia" w:cstheme="minorEastAsia"/>
                <w:sz w:val="22"/>
                <w:szCs w:val="22"/>
              </w:rPr>
              <w:t xml:space="preserve">内。</w:t>
            </w:r>
            <w:r/>
          </w:p>
        </w:tc>
      </w:tr>
      <w:tr>
        <w:trPr>
          <w:gridAfter w:val="1"/>
          <w:trHeight w:val="388"/>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b w:val="0"/>
                <w:bCs/>
                <w:sz w:val="24"/>
                <w:szCs w:val="24"/>
                <w:lang w:val="en-US" w:eastAsia="zh-CN"/>
              </w:rPr>
              <w:t xml:space="preserve">9</w:t>
            </w:r>
            <w:r/>
          </w:p>
        </w:tc>
        <w:tc>
          <w:tcPr>
            <w:gridSpan w:val="2"/>
            <w:tcW w:w="8522"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需要补充的其他内容</w:t>
            </w:r>
            <w:r/>
          </w:p>
        </w:tc>
      </w:tr>
      <w:tr>
        <w:trPr>
          <w:gridAfter w:val="1"/>
          <w:trHeight w:val="388"/>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9.1</w:t>
            </w:r>
            <w:r/>
          </w:p>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9.2</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质疑和投诉</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按照《政府采购质疑和投诉办法》（财政部第94号令）处理</w:t>
            </w:r>
            <w:r/>
          </w:p>
        </w:tc>
      </w:tr>
      <w:tr>
        <w:trPr>
          <w:gridAfter w:val="1"/>
          <w:trHeight w:val="618"/>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9.3</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招标文件的解释</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由采购人负责</w:t>
            </w:r>
            <w:r/>
          </w:p>
        </w:tc>
      </w:tr>
      <w:tr>
        <w:trPr>
          <w:gridAfter w:val="1"/>
          <w:trHeight w:val="498"/>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9.4</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落实政府采购政策</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本项目为非专门面向中小企业的项目</w:t>
            </w:r>
            <w:r/>
          </w:p>
        </w:tc>
      </w:tr>
      <w:tr>
        <w:trPr>
          <w:gridAfter w:val="1"/>
          <w:trHeight w:val="1530"/>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9.5</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投标报价</w:t>
            </w:r>
            <w:r/>
          </w:p>
        </w:tc>
        <w:tc>
          <w:tcPr>
            <w:tcW w:w="6413" w:type="dxa"/>
            <w:vAlign w:val="center"/>
            <w:textDirection w:val="lrTb"/>
            <w:noWrap w:val="false"/>
          </w:tcPr>
          <w:p>
            <w:pPr>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1.投标人应仔细阅读和充分理解招标文件的采购需求和合同主要条款，根据自身实际情况并综合考虑合同履行过程中的各类风险，理性报价。</w:t>
            </w:r>
            <w:r/>
          </w:p>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2.异常的低价可能会导致投标无效。</w:t>
            </w:r>
            <w:r/>
          </w:p>
        </w:tc>
      </w:tr>
      <w:tr>
        <w:trPr>
          <w:gridAfter w:val="1"/>
          <w:trHeight w:val="388"/>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9.6</w:t>
            </w:r>
            <w:r/>
          </w:p>
        </w:tc>
        <w:tc>
          <w:tcPr>
            <w:tcW w:w="2109"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标的所属行业</w:t>
            </w:r>
            <w:r/>
          </w:p>
        </w:tc>
        <w:tc>
          <w:tcPr>
            <w:tcW w:w="6413"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其他未列明行业</w:t>
            </w:r>
            <w:r/>
          </w:p>
        </w:tc>
      </w:tr>
      <w:tr>
        <w:trPr>
          <w:gridAfter w:val="1"/>
          <w:trHeight w:val="318"/>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9.7</w:t>
            </w:r>
            <w:r/>
          </w:p>
        </w:tc>
        <w:tc>
          <w:tcPr>
            <w:gridSpan w:val="2"/>
            <w:tcW w:w="8522"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 xml:space="preserve">补充条款</w:t>
            </w:r>
            <w:r/>
          </w:p>
        </w:tc>
      </w:tr>
      <w:tr>
        <w:trPr>
          <w:gridAfter w:val="1"/>
          <w:trHeight w:val="361"/>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9.7.1</w:t>
            </w:r>
            <w:r/>
          </w:p>
        </w:tc>
        <w:tc>
          <w:tcPr>
            <w:gridSpan w:val="2"/>
            <w:tcW w:w="8522" w:type="dxa"/>
            <w:vAlign w:val="center"/>
            <w:textDirection w:val="lrTb"/>
            <w:noWrap w:val="false"/>
          </w:tcPr>
          <w:p>
            <w:pPr>
              <w:pStyle w:val="869"/>
              <w:ind w:firstLine="0"/>
              <w:spacing w:line="240" w:lineRule="auto"/>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本项目采购代理服务费由中标供应商在领取中标通知书前支付给代理机构，采购人不另外支付。</w:t>
            </w:r>
            <w:r/>
          </w:p>
          <w:p>
            <w:pPr>
              <w:pStyle w:val="869"/>
              <w:ind w:firstLine="0"/>
              <w:spacing w:line="240" w:lineRule="auto"/>
              <w:rPr>
                <w:rFonts w:hint="eastAsia" w:asciiTheme="minorEastAsia" w:hAnsiTheme="minorEastAsia" w:eastAsiaTheme="minorEastAsia" w:cstheme="minorEastAsia"/>
                <w:b/>
                <w:color w:val="ff0000"/>
                <w:sz w:val="22"/>
                <w:szCs w:val="22"/>
              </w:rPr>
            </w:pPr>
            <w:r>
              <w:rPr>
                <w:rFonts w:hint="eastAsia" w:asciiTheme="minorEastAsia" w:hAnsiTheme="minorEastAsia" w:eastAsiaTheme="minorEastAsia" w:cstheme="minorEastAsia"/>
                <w:b/>
                <w:sz w:val="22"/>
                <w:szCs w:val="22"/>
              </w:rPr>
              <w:t xml:space="preserve">本项目采购代理服务费由中标供应商在领取中标通知书前支付给采购代理机构，收费标准参照</w:t>
            </w:r>
            <w:bookmarkStart w:id="34" w:name="OLE_LINK80"/>
            <w:r/>
            <w:bookmarkStart w:id="35" w:name="OLE_LINK79"/>
            <w:r>
              <w:rPr>
                <w:rFonts w:hint="eastAsia" w:asciiTheme="minorEastAsia" w:hAnsiTheme="minorEastAsia" w:eastAsiaTheme="minorEastAsia" w:cstheme="minorEastAsia"/>
                <w:b/>
                <w:sz w:val="22"/>
                <w:szCs w:val="22"/>
              </w:rPr>
              <w:t xml:space="preserve">苏招协【2022】002号文件规定收费标准的70%计取</w:t>
            </w:r>
            <w:bookmarkEnd w:id="34"/>
            <w:r/>
            <w:bookmarkEnd w:id="35"/>
            <w:r>
              <w:rPr>
                <w:rFonts w:hint="eastAsia" w:asciiTheme="minorEastAsia" w:hAnsiTheme="minorEastAsia" w:eastAsiaTheme="minorEastAsia" w:cstheme="minorEastAsia"/>
                <w:b/>
                <w:sz w:val="22"/>
                <w:szCs w:val="22"/>
              </w:rPr>
              <w:t xml:space="preserve">，最终按实际中标价结算，评审费按苏财购〔2016〕48号规定，按实际支付金额结算</w:t>
            </w:r>
            <w:r>
              <w:rPr>
                <w:rFonts w:hint="eastAsia" w:asciiTheme="minorEastAsia" w:hAnsiTheme="minorEastAsia" w:eastAsiaTheme="minorEastAsia" w:cstheme="minorEastAsia"/>
                <w:b/>
                <w:sz w:val="22"/>
                <w:szCs w:val="22"/>
                <w:lang w:eastAsia="zh-CN"/>
              </w:rPr>
              <w:t xml:space="preserve">，</w:t>
            </w:r>
            <w:r>
              <w:rPr>
                <w:rFonts w:hint="eastAsia" w:asciiTheme="minorEastAsia" w:hAnsiTheme="minorEastAsia" w:eastAsiaTheme="minorEastAsia" w:cstheme="minorEastAsia"/>
                <w:b/>
                <w:sz w:val="22"/>
                <w:szCs w:val="22"/>
              </w:rPr>
              <w:t xml:space="preserve">此项费用包含在响应报价中，不单独立项。</w:t>
            </w:r>
            <w:r/>
          </w:p>
        </w:tc>
      </w:tr>
      <w:tr>
        <w:trPr>
          <w:trHeight w:val="274"/>
        </w:trPr>
        <w:tc>
          <w:tcPr>
            <w:tcW w:w="925" w:type="dxa"/>
            <w:vAlign w:val="center"/>
            <w:textDirection w:val="lrTb"/>
            <w:noWrap w:val="false"/>
          </w:tcPr>
          <w:p>
            <w:pPr>
              <w:jc w:val="center"/>
              <w:spacing w:line="240" w:lineRule="auto"/>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sz w:val="22"/>
                <w:szCs w:val="22"/>
              </w:rPr>
              <w:t xml:space="preserve">9.7.2</w:t>
            </w:r>
            <w:r/>
          </w:p>
        </w:tc>
        <w:tc>
          <w:tcPr>
            <w:gridSpan w:val="3"/>
            <w:tcW w:w="8534" w:type="dxa"/>
            <w:vAlign w:val="center"/>
            <w:textDirection w:val="lrTb"/>
            <w:noWrap w:val="false"/>
          </w:tcPr>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采购人有权对投标人提供的公司和人员资格及资信证明文件等资料进行考察核实，若发现弄虚作假，则按照相关规定由主管部门将其列入不良行为记录名单，禁止其1至3年内参加采购活动。</w:t>
            </w:r>
            <w:r/>
          </w:p>
        </w:tc>
      </w:tr>
    </w:tbl>
    <w:p>
      <w:pPr>
        <w:ind w:left="646"/>
        <w:jc w:val="center"/>
        <w:spacing w:line="520" w:lineRule="exact"/>
        <w:tabs>
          <w:tab w:val="left" w:pos="3240" w:leader="none"/>
        </w:tabs>
        <w:rPr>
          <w:rFonts w:hint="eastAsia" w:asciiTheme="minorEastAsia" w:hAnsiTheme="minorEastAsia" w:eastAsiaTheme="minorEastAsia"/>
          <w:b/>
          <w:sz w:val="32"/>
          <w:szCs w:val="32"/>
          <w:lang w:val="zh-CN"/>
        </w:rPr>
        <w:outlineLvl w:val="0"/>
      </w:pPr>
      <w:r>
        <w:rPr>
          <w:rFonts w:hint="eastAsia" w:asciiTheme="minorEastAsia" w:hAnsiTheme="minorEastAsia" w:eastAsiaTheme="minorEastAsia"/>
          <w:b/>
          <w:sz w:val="32"/>
          <w:szCs w:val="32"/>
          <w:lang w:val="zh-CN"/>
        </w:rPr>
      </w:r>
      <w:r/>
    </w:p>
    <w:p>
      <w:pPr>
        <w:spacing w:line="49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总则</w:t>
      </w:r>
      <w:r/>
    </w:p>
    <w:p>
      <w:pPr>
        <w:ind w:firstLine="562"/>
        <w:spacing w:line="490" w:lineRule="exact"/>
        <w:rPr>
          <w:rFonts w:asciiTheme="minorEastAsia" w:hAnsiTheme="minorEastAsia" w:eastAsiaTheme="minorEastAsia"/>
          <w:b/>
          <w:sz w:val="24"/>
          <w:szCs w:val="24"/>
        </w:rPr>
      </w:pPr>
      <w:r/>
      <w:bookmarkStart w:id="36" w:name="_Toc247085690"/>
      <w:r/>
      <w:bookmarkStart w:id="37" w:name="_Toc179632547"/>
      <w:r/>
      <w:bookmarkStart w:id="38" w:name="_Toc152045530"/>
      <w:r/>
      <w:bookmarkStart w:id="39" w:name="_Toc246996919"/>
      <w:r/>
      <w:bookmarkStart w:id="40" w:name="_Toc144974498"/>
      <w:r/>
      <w:bookmarkStart w:id="41" w:name="_Toc383438593"/>
      <w:r/>
      <w:bookmarkStart w:id="42" w:name="_Toc152042306"/>
      <w:r/>
      <w:bookmarkStart w:id="43" w:name="_Toc246996176"/>
      <w:r/>
      <w:bookmarkStart w:id="44" w:name="_Toc343525506"/>
      <w:r/>
      <w:bookmarkStart w:id="45" w:name="_Toc426469872"/>
      <w:r/>
      <w:bookmarkStart w:id="46" w:name="_Toc367784996"/>
      <w:r>
        <w:rPr>
          <w:rFonts w:asciiTheme="minorEastAsia" w:hAnsiTheme="minorEastAsia" w:eastAsiaTheme="minorEastAsia"/>
          <w:b/>
          <w:sz w:val="24"/>
          <w:szCs w:val="24"/>
        </w:rPr>
        <w:t xml:space="preserve">1.1 </w:t>
      </w:r>
      <w:r>
        <w:rPr>
          <w:rFonts w:hint="eastAsia" w:cs="宋体" w:asciiTheme="minorEastAsia" w:hAnsiTheme="minorEastAsia" w:eastAsiaTheme="minorEastAsia"/>
          <w:b/>
          <w:sz w:val="24"/>
          <w:szCs w:val="24"/>
        </w:rPr>
        <w:t xml:space="preserve">项目概况</w:t>
      </w:r>
      <w:bookmarkEnd w:id="36"/>
      <w:r/>
      <w:bookmarkEnd w:id="37"/>
      <w:r/>
      <w:bookmarkEnd w:id="38"/>
      <w:r/>
      <w:bookmarkEnd w:id="39"/>
      <w:r/>
      <w:bookmarkEnd w:id="40"/>
      <w:r/>
      <w:bookmarkEnd w:id="41"/>
      <w:r/>
      <w:bookmarkEnd w:id="42"/>
      <w:r/>
      <w:bookmarkEnd w:id="43"/>
      <w:r/>
      <w:bookmarkEnd w:id="44"/>
      <w:r/>
      <w:bookmarkEnd w:id="45"/>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1.1.1</w:t>
      </w:r>
      <w:r>
        <w:rPr>
          <w:rFonts w:hint="eastAsia" w:cs="宋体" w:asciiTheme="minorEastAsia" w:hAnsiTheme="minorEastAsia" w:eastAsiaTheme="minorEastAsia"/>
          <w:sz w:val="24"/>
          <w:szCs w:val="24"/>
        </w:rPr>
        <w:t xml:space="preserve">根据《中华人民共和国政府采购法》、《中华人民共和国政府采购法实施条例》等有关法律、法规和规章的规定，本采购项目已具备采购条件，现对本项目进行公开招标。</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1.1.2 </w:t>
      </w:r>
      <w:r>
        <w:rPr>
          <w:rFonts w:hint="eastAsia" w:cs="宋体" w:asciiTheme="minorEastAsia" w:hAnsiTheme="minorEastAsia" w:eastAsiaTheme="minorEastAsia"/>
          <w:sz w:val="24"/>
          <w:szCs w:val="24"/>
        </w:rPr>
        <w:t xml:space="preserve">采购人：见投标人须知前附表。</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1.1.3 </w:t>
      </w:r>
      <w:r>
        <w:rPr>
          <w:rFonts w:hint="eastAsia" w:cs="宋体" w:asciiTheme="minorEastAsia" w:hAnsiTheme="minorEastAsia" w:eastAsiaTheme="minorEastAsia"/>
          <w:sz w:val="24"/>
          <w:szCs w:val="24"/>
        </w:rPr>
        <w:t xml:space="preserve">采购代理机构：见投标人须知前附表。</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1.1.4 </w:t>
      </w:r>
      <w:r>
        <w:rPr>
          <w:rFonts w:hint="eastAsia" w:cs="宋体" w:asciiTheme="minorEastAsia" w:hAnsiTheme="minorEastAsia" w:eastAsiaTheme="minorEastAsia"/>
          <w:sz w:val="24"/>
          <w:szCs w:val="24"/>
        </w:rPr>
        <w:t xml:space="preserve">项目名称及项目编号：见投标人须知前附表。</w:t>
      </w:r>
      <w:r/>
    </w:p>
    <w:p>
      <w:pPr>
        <w:ind w:firstLine="562"/>
        <w:spacing w:line="490" w:lineRule="exact"/>
        <w:rPr>
          <w:rFonts w:asciiTheme="minorEastAsia" w:hAnsiTheme="minorEastAsia" w:eastAsiaTheme="minorEastAsia"/>
          <w:b/>
          <w:sz w:val="24"/>
          <w:szCs w:val="24"/>
        </w:rPr>
      </w:pPr>
      <w:r/>
      <w:bookmarkStart w:id="47" w:name="_Toc152045531"/>
      <w:r/>
      <w:bookmarkStart w:id="48" w:name="_Toc246996177"/>
      <w:r/>
      <w:bookmarkStart w:id="49" w:name="_Toc152042307"/>
      <w:r/>
      <w:bookmarkStart w:id="50" w:name="_Toc247085691"/>
      <w:r/>
      <w:bookmarkStart w:id="51" w:name="_Toc179632548"/>
      <w:r/>
      <w:bookmarkStart w:id="52" w:name="_Toc426469873"/>
      <w:r/>
      <w:bookmarkStart w:id="53" w:name="_Toc246996920"/>
      <w:r/>
      <w:bookmarkStart w:id="54" w:name="_Toc383438594"/>
      <w:r/>
      <w:bookmarkStart w:id="55" w:name="_Toc144974499"/>
      <w:r/>
      <w:bookmarkStart w:id="56" w:name="_Toc343525507"/>
      <w:r>
        <w:rPr>
          <w:rFonts w:asciiTheme="minorEastAsia" w:hAnsiTheme="minorEastAsia" w:eastAsiaTheme="minorEastAsia"/>
          <w:b/>
          <w:sz w:val="24"/>
          <w:szCs w:val="24"/>
        </w:rPr>
        <w:t xml:space="preserve">1.2</w:t>
      </w:r>
      <w:bookmarkEnd w:id="47"/>
      <w:r/>
      <w:bookmarkEnd w:id="48"/>
      <w:r/>
      <w:bookmarkEnd w:id="49"/>
      <w:r/>
      <w:bookmarkEnd w:id="50"/>
      <w:r/>
      <w:bookmarkEnd w:id="51"/>
      <w:r/>
      <w:bookmarkEnd w:id="52"/>
      <w:r/>
      <w:bookmarkEnd w:id="53"/>
      <w:r/>
      <w:bookmarkEnd w:id="54"/>
      <w:r/>
      <w:bookmarkEnd w:id="55"/>
      <w:r/>
      <w:bookmarkEnd w:id="56"/>
      <w:r>
        <w:rPr>
          <w:rFonts w:hint="eastAsia" w:asciiTheme="minorEastAsia" w:hAnsiTheme="minorEastAsia" w:eastAsiaTheme="minorEastAsia"/>
          <w:b/>
          <w:sz w:val="24"/>
          <w:szCs w:val="24"/>
        </w:rPr>
        <w:t xml:space="preserve">付款方式</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付款方式：见投标人须知前附表。</w:t>
      </w:r>
      <w:r/>
    </w:p>
    <w:p>
      <w:pPr>
        <w:ind w:firstLine="562"/>
        <w:spacing w:line="490" w:lineRule="exact"/>
        <w:rPr>
          <w:rFonts w:asciiTheme="minorEastAsia" w:hAnsiTheme="minorEastAsia" w:eastAsiaTheme="minorEastAsia"/>
          <w:b/>
          <w:sz w:val="24"/>
          <w:szCs w:val="24"/>
        </w:rPr>
      </w:pPr>
      <w:r/>
      <w:bookmarkStart w:id="57" w:name="_Toc152042308"/>
      <w:r/>
      <w:bookmarkStart w:id="58" w:name="_Toc343525508"/>
      <w:r/>
      <w:bookmarkStart w:id="59" w:name="_Toc152045532"/>
      <w:r/>
      <w:bookmarkStart w:id="60" w:name="_Toc383438595"/>
      <w:r/>
      <w:bookmarkStart w:id="61" w:name="_Toc144974500"/>
      <w:r/>
      <w:bookmarkStart w:id="62" w:name="_Toc246996921"/>
      <w:r/>
      <w:bookmarkStart w:id="63" w:name="_Toc179632549"/>
      <w:r/>
      <w:bookmarkStart w:id="64" w:name="_Toc246996178"/>
      <w:r/>
      <w:bookmarkStart w:id="65" w:name="_Toc247085692"/>
      <w:r/>
      <w:bookmarkStart w:id="66" w:name="_Toc426469874"/>
      <w:r>
        <w:rPr>
          <w:rFonts w:asciiTheme="minorEastAsia" w:hAnsiTheme="minorEastAsia" w:eastAsiaTheme="minorEastAsia"/>
          <w:b/>
          <w:sz w:val="24"/>
          <w:szCs w:val="24"/>
        </w:rPr>
        <w:t xml:space="preserve">1.3 </w:t>
      </w:r>
      <w:bookmarkEnd w:id="57"/>
      <w:r/>
      <w:bookmarkEnd w:id="58"/>
      <w:r/>
      <w:bookmarkEnd w:id="59"/>
      <w:r/>
      <w:bookmarkEnd w:id="60"/>
      <w:r/>
      <w:bookmarkEnd w:id="61"/>
      <w:r/>
      <w:bookmarkEnd w:id="62"/>
      <w:r/>
      <w:bookmarkEnd w:id="63"/>
      <w:r/>
      <w:bookmarkEnd w:id="64"/>
      <w:r/>
      <w:bookmarkEnd w:id="65"/>
      <w:r>
        <w:rPr>
          <w:rFonts w:hint="eastAsia" w:asciiTheme="minorEastAsia" w:hAnsiTheme="minorEastAsia" w:eastAsiaTheme="minorEastAsia"/>
          <w:b/>
          <w:sz w:val="24"/>
          <w:szCs w:val="24"/>
        </w:rPr>
        <w:t xml:space="preserve">采购范围</w:t>
      </w:r>
      <w:bookmarkEnd w:id="66"/>
      <w:r>
        <w:rPr>
          <w:rFonts w:hint="eastAsia" w:asciiTheme="minorEastAsia" w:hAnsiTheme="minorEastAsia" w:eastAsiaTheme="minorEastAsia"/>
          <w:b/>
          <w:sz w:val="24"/>
          <w:szCs w:val="24"/>
        </w:rPr>
        <w:t xml:space="preserve">与合同履行期限</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1.3.1 </w:t>
      </w:r>
      <w:r>
        <w:rPr>
          <w:rFonts w:hint="eastAsia" w:cs="宋体" w:asciiTheme="minorEastAsia" w:hAnsiTheme="minorEastAsia" w:eastAsiaTheme="minorEastAsia"/>
          <w:sz w:val="24"/>
          <w:szCs w:val="24"/>
        </w:rPr>
        <w:t xml:space="preserve">采购范围：见投标人须知前附表。</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1.3.2 </w:t>
      </w:r>
      <w:r>
        <w:rPr>
          <w:rFonts w:hint="eastAsia" w:cs="宋体" w:asciiTheme="minorEastAsia" w:hAnsiTheme="minorEastAsia" w:eastAsiaTheme="minorEastAsia"/>
          <w:sz w:val="24"/>
          <w:szCs w:val="24"/>
        </w:rPr>
        <w:t xml:space="preserve">合同履行期限：见投标人须知前附表。</w:t>
      </w:r>
      <w:r/>
    </w:p>
    <w:p>
      <w:pPr>
        <w:ind w:firstLine="562"/>
        <w:spacing w:line="490" w:lineRule="exact"/>
        <w:rPr>
          <w:rFonts w:asciiTheme="minorEastAsia" w:hAnsiTheme="minorEastAsia" w:eastAsiaTheme="minorEastAsia"/>
          <w:b/>
          <w:sz w:val="24"/>
          <w:szCs w:val="24"/>
        </w:rPr>
      </w:pPr>
      <w:r/>
      <w:bookmarkStart w:id="67" w:name="_Toc343525509"/>
      <w:r/>
      <w:bookmarkStart w:id="68" w:name="_Toc246996922"/>
      <w:r/>
      <w:bookmarkStart w:id="69" w:name="_Toc426469875"/>
      <w:r/>
      <w:bookmarkStart w:id="70" w:name="_Toc383438596"/>
      <w:r/>
      <w:bookmarkStart w:id="71" w:name="_Toc144974502"/>
      <w:r/>
      <w:bookmarkStart w:id="72" w:name="_Toc179632551"/>
      <w:r/>
      <w:bookmarkStart w:id="73" w:name="_Toc152045534"/>
      <w:r/>
      <w:bookmarkStart w:id="74" w:name="_Toc246996179"/>
      <w:r/>
      <w:bookmarkStart w:id="75" w:name="_Toc247085693"/>
      <w:r/>
      <w:bookmarkStart w:id="76" w:name="_Toc152042310"/>
      <w:r>
        <w:rPr>
          <w:rFonts w:asciiTheme="minorEastAsia" w:hAnsiTheme="minorEastAsia" w:eastAsiaTheme="minorEastAsia"/>
          <w:b/>
          <w:sz w:val="24"/>
          <w:szCs w:val="24"/>
        </w:rPr>
        <w:t xml:space="preserve">1.4 </w:t>
      </w:r>
      <w:r>
        <w:rPr>
          <w:rFonts w:hint="eastAsia" w:asciiTheme="minorEastAsia" w:hAnsiTheme="minorEastAsia" w:eastAsiaTheme="minorEastAsia"/>
          <w:b/>
          <w:sz w:val="24"/>
          <w:szCs w:val="24"/>
        </w:rPr>
        <w:t xml:space="preserve">投标人资格要求</w:t>
      </w:r>
      <w:bookmarkEnd w:id="67"/>
      <w:r/>
      <w:bookmarkEnd w:id="68"/>
      <w:r/>
      <w:bookmarkEnd w:id="69"/>
      <w:r/>
      <w:bookmarkEnd w:id="70"/>
      <w:r/>
      <w:bookmarkEnd w:id="71"/>
      <w:r/>
      <w:bookmarkEnd w:id="72"/>
      <w:r/>
      <w:bookmarkEnd w:id="73"/>
      <w:r/>
      <w:bookmarkEnd w:id="74"/>
      <w:r/>
      <w:bookmarkEnd w:id="75"/>
      <w:r/>
      <w:bookmarkEnd w:id="76"/>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1.4.1</w:t>
      </w:r>
      <w:r>
        <w:rPr>
          <w:rFonts w:hint="eastAsia" w:cs="宋体" w:asciiTheme="minorEastAsia" w:hAnsiTheme="minorEastAsia" w:eastAsiaTheme="minorEastAsia"/>
          <w:sz w:val="24"/>
          <w:szCs w:val="24"/>
        </w:rPr>
        <w:t xml:space="preserve">投标人参加政府采购活动应当具备下列条件：</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）具有独立承担民事责任的能力；</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）具有良好的商业信誉和健全的财务会计制度；</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）具有履行合同所必需的设备和专业技术能力；</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）有依法缴纳税收和社会保障资金的良好记录；</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）参加政府采购活动前三年内，在经营活动中没有重大违法记录；</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）法律、行政法规规定的其他条件。</w:t>
      </w:r>
      <w:r/>
    </w:p>
    <w:p>
      <w:pPr>
        <w:ind w:firstLine="56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1.4.2</w:t>
      </w:r>
      <w:r>
        <w:rPr>
          <w:rFonts w:hint="eastAsia" w:cs="宋体" w:asciiTheme="minorEastAsia" w:hAnsiTheme="minorEastAsia" w:eastAsiaTheme="minorEastAsia"/>
          <w:sz w:val="24"/>
          <w:szCs w:val="24"/>
        </w:rPr>
        <w:t xml:space="preserve">根据采购项目特殊要求，要求投标人具备的特定条件：见投标人须知前附表。</w:t>
      </w:r>
      <w:r/>
    </w:p>
    <w:p>
      <w:pPr>
        <w:ind w:firstLine="56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1.4.3</w:t>
      </w:r>
      <w:r>
        <w:rPr>
          <w:rFonts w:hint="eastAsia" w:cs="宋体" w:asciiTheme="minorEastAsia" w:hAnsiTheme="minorEastAsia" w:eastAsiaTheme="minorEastAsia"/>
          <w:sz w:val="24"/>
          <w:szCs w:val="24"/>
        </w:rPr>
        <w:t xml:space="preserve">投标人不得存在下列情形之一：</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l</w:t>
      </w:r>
      <w:r>
        <w:rPr>
          <w:rFonts w:hint="eastAsia" w:cs="宋体" w:asciiTheme="minorEastAsia" w:hAnsiTheme="minorEastAsia" w:eastAsiaTheme="minorEastAsia"/>
          <w:sz w:val="24"/>
          <w:szCs w:val="24"/>
        </w:rPr>
        <w:t xml:space="preserve">）与采购人或采购代理机构存在隶属关系或者其他利害关系；</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）为采购项目提供了整体设计、规范编制或者项目管理、监理、检测、质量控制等服务；</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）单位负责人为同一人或者存在直接控股、管理关系的不同投标人，参加同一合同项下的政府采购活动。</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（4）以联合体形式参加政府采购活动的，联合体各方再单独参加或者与其他投标人另外组成联合体参加同一合同项下的政府采购活动。</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）法律、行政法规规定的其他条件。</w:t>
      </w:r>
      <w:r/>
    </w:p>
    <w:p>
      <w:pPr>
        <w:ind w:firstLine="562"/>
        <w:spacing w:line="490" w:lineRule="exact"/>
        <w:rPr>
          <w:rFonts w:asciiTheme="minorEastAsia" w:hAnsiTheme="minorEastAsia" w:eastAsiaTheme="minorEastAsia"/>
          <w:b/>
          <w:sz w:val="24"/>
          <w:szCs w:val="24"/>
        </w:rPr>
      </w:pPr>
      <w:r/>
      <w:bookmarkStart w:id="77" w:name="_Toc343525510"/>
      <w:r/>
      <w:bookmarkStart w:id="78" w:name="_Toc179632552"/>
      <w:r/>
      <w:bookmarkStart w:id="79" w:name="_Toc152042311"/>
      <w:r/>
      <w:bookmarkStart w:id="80" w:name="_Toc144974503"/>
      <w:r/>
      <w:bookmarkStart w:id="81" w:name="_Toc246996923"/>
      <w:r/>
      <w:bookmarkStart w:id="82" w:name="_Toc426469876"/>
      <w:r/>
      <w:bookmarkStart w:id="83" w:name="_Toc246996180"/>
      <w:r/>
      <w:bookmarkStart w:id="84" w:name="_Toc247085694"/>
      <w:r/>
      <w:bookmarkStart w:id="85" w:name="_Toc383438597"/>
      <w:r/>
      <w:bookmarkStart w:id="86" w:name="_Toc152045535"/>
      <w:r>
        <w:rPr>
          <w:rFonts w:asciiTheme="minorEastAsia" w:hAnsiTheme="minorEastAsia" w:eastAsiaTheme="minorEastAsia"/>
          <w:b/>
          <w:sz w:val="24"/>
          <w:szCs w:val="24"/>
        </w:rPr>
        <w:t xml:space="preserve">1.5</w:t>
      </w:r>
      <w:r>
        <w:rPr>
          <w:rFonts w:hint="eastAsia" w:cs="宋体" w:asciiTheme="minorEastAsia" w:hAnsiTheme="minorEastAsia" w:eastAsiaTheme="minorEastAsia"/>
          <w:b/>
          <w:sz w:val="24"/>
          <w:szCs w:val="24"/>
        </w:rPr>
        <w:t xml:space="preserve">费用承担</w:t>
      </w:r>
      <w:bookmarkEnd w:id="77"/>
      <w:r/>
      <w:bookmarkEnd w:id="78"/>
      <w:r/>
      <w:bookmarkEnd w:id="79"/>
      <w:r/>
      <w:bookmarkEnd w:id="80"/>
      <w:r/>
      <w:bookmarkEnd w:id="81"/>
      <w:r/>
      <w:bookmarkEnd w:id="82"/>
      <w:r/>
      <w:bookmarkEnd w:id="83"/>
      <w:r/>
      <w:bookmarkEnd w:id="84"/>
      <w:r/>
      <w:bookmarkEnd w:id="85"/>
      <w:r/>
      <w:bookmarkEnd w:id="86"/>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无论采购结果如何，投标人为准备和参加投标活动发生的费用自理。</w:t>
      </w:r>
      <w:r/>
    </w:p>
    <w:p>
      <w:pPr>
        <w:ind w:firstLine="562"/>
        <w:spacing w:line="490" w:lineRule="exact"/>
        <w:rPr>
          <w:rFonts w:asciiTheme="minorEastAsia" w:hAnsiTheme="minorEastAsia" w:eastAsiaTheme="minorEastAsia"/>
          <w:b/>
          <w:sz w:val="24"/>
          <w:szCs w:val="24"/>
        </w:rPr>
      </w:pPr>
      <w:r/>
      <w:bookmarkStart w:id="87" w:name="_Toc144974505"/>
      <w:r/>
      <w:bookmarkStart w:id="88" w:name="_Toc247085696"/>
      <w:r/>
      <w:bookmarkStart w:id="89" w:name="_Toc179632554"/>
      <w:r/>
      <w:bookmarkStart w:id="90" w:name="_Toc152045537"/>
      <w:r/>
      <w:bookmarkStart w:id="91" w:name="_Toc383438599"/>
      <w:r/>
      <w:bookmarkStart w:id="92" w:name="_Toc152042313"/>
      <w:r/>
      <w:bookmarkStart w:id="93" w:name="_Toc343525512"/>
      <w:r/>
      <w:bookmarkStart w:id="94" w:name="_Toc426469878"/>
      <w:r/>
      <w:bookmarkStart w:id="95" w:name="_Toc246996925"/>
      <w:r/>
      <w:bookmarkStart w:id="96" w:name="_Toc246996182"/>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6</w:t>
      </w:r>
      <w:r>
        <w:rPr>
          <w:rFonts w:hint="eastAsia" w:cs="宋体" w:asciiTheme="minorEastAsia" w:hAnsiTheme="minorEastAsia" w:eastAsiaTheme="minorEastAsia"/>
          <w:b/>
          <w:sz w:val="24"/>
          <w:szCs w:val="24"/>
        </w:rPr>
        <w:t xml:space="preserve">语言</w:t>
      </w:r>
      <w:bookmarkEnd w:id="87"/>
      <w:r>
        <w:rPr>
          <w:rFonts w:hint="eastAsia" w:cs="宋体" w:asciiTheme="minorEastAsia" w:hAnsiTheme="minorEastAsia" w:eastAsiaTheme="minorEastAsia"/>
          <w:b/>
          <w:sz w:val="24"/>
          <w:szCs w:val="24"/>
        </w:rPr>
        <w:t xml:space="preserve">文字</w:t>
      </w:r>
      <w:bookmarkEnd w:id="88"/>
      <w:r/>
      <w:bookmarkEnd w:id="89"/>
      <w:r/>
      <w:bookmarkEnd w:id="90"/>
      <w:r/>
      <w:bookmarkEnd w:id="91"/>
      <w:r/>
      <w:bookmarkEnd w:id="92"/>
      <w:r/>
      <w:bookmarkEnd w:id="93"/>
      <w:r/>
      <w:bookmarkEnd w:id="94"/>
      <w:r/>
      <w:bookmarkEnd w:id="95"/>
      <w:r/>
      <w:bookmarkEnd w:id="96"/>
      <w:r/>
      <w:r/>
    </w:p>
    <w:p>
      <w:pPr>
        <w:ind w:firstLine="480"/>
        <w:spacing w:line="490" w:lineRule="exact"/>
        <w:rPr>
          <w:rFonts w:asciiTheme="minorEastAsia" w:hAnsiTheme="minorEastAsia" w:eastAsiaTheme="minorEastAsia"/>
          <w:sz w:val="24"/>
          <w:szCs w:val="24"/>
        </w:rPr>
      </w:pPr>
      <w:r/>
      <w:bookmarkStart w:id="97" w:name="_Toc152045538"/>
      <w:r/>
      <w:bookmarkStart w:id="98" w:name="_Toc246996926"/>
      <w:r/>
      <w:bookmarkStart w:id="99" w:name="_Toc152042314"/>
      <w:r/>
      <w:bookmarkStart w:id="100" w:name="_Toc246996183"/>
      <w:r/>
      <w:bookmarkStart w:id="101" w:name="_Toc144974506"/>
      <w:r/>
      <w:bookmarkStart w:id="102" w:name="_Toc179632555"/>
      <w:r/>
      <w:bookmarkStart w:id="103" w:name="_Toc247085697"/>
      <w:r>
        <w:rPr>
          <w:rFonts w:hint="eastAsia" w:cs="宋体" w:asciiTheme="minorEastAsia" w:hAnsiTheme="minorEastAsia" w:eastAsiaTheme="minorEastAsia"/>
          <w:sz w:val="24"/>
          <w:szCs w:val="24"/>
        </w:rPr>
        <w:t xml:space="preserve">招投标文件使用的语言文字为中文。专用术语使用外文的，应附有中文注释。</w:t>
      </w:r>
      <w:r/>
    </w:p>
    <w:p>
      <w:pPr>
        <w:ind w:firstLine="562"/>
        <w:spacing w:line="490" w:lineRule="exact"/>
        <w:rPr>
          <w:rFonts w:asciiTheme="minorEastAsia" w:hAnsiTheme="minorEastAsia" w:eastAsiaTheme="minorEastAsia"/>
          <w:b/>
          <w:sz w:val="24"/>
          <w:szCs w:val="24"/>
        </w:rPr>
      </w:pPr>
      <w:r/>
      <w:bookmarkStart w:id="104" w:name="_Toc343525513"/>
      <w:r/>
      <w:bookmarkStart w:id="105" w:name="_Toc426469879"/>
      <w:r/>
      <w:bookmarkStart w:id="106" w:name="_Toc383438600"/>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7</w:t>
      </w:r>
      <w:r>
        <w:rPr>
          <w:rFonts w:hint="eastAsia" w:cs="宋体" w:asciiTheme="minorEastAsia" w:hAnsiTheme="minorEastAsia" w:eastAsiaTheme="minorEastAsia"/>
          <w:b/>
          <w:sz w:val="24"/>
          <w:szCs w:val="24"/>
        </w:rPr>
        <w:t xml:space="preserve">计量单位</w:t>
      </w:r>
      <w:bookmarkEnd w:id="97"/>
      <w:r/>
      <w:bookmarkEnd w:id="98"/>
      <w:r/>
      <w:bookmarkEnd w:id="99"/>
      <w:r/>
      <w:bookmarkEnd w:id="100"/>
      <w:r/>
      <w:bookmarkEnd w:id="101"/>
      <w:r/>
      <w:bookmarkEnd w:id="102"/>
      <w:r/>
      <w:bookmarkEnd w:id="103"/>
      <w:r/>
      <w:bookmarkEnd w:id="104"/>
      <w:r/>
      <w:bookmarkEnd w:id="105"/>
      <w:r/>
      <w:bookmarkEnd w:id="106"/>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所有计量均采用中华人民共和国法定计量单位。</w:t>
      </w:r>
      <w:r/>
    </w:p>
    <w:p>
      <w:pPr>
        <w:ind w:firstLine="562"/>
        <w:spacing w:line="490" w:lineRule="exact"/>
        <w:rPr>
          <w:rFonts w:asciiTheme="minorEastAsia" w:hAnsiTheme="minorEastAsia" w:eastAsiaTheme="minorEastAsia"/>
          <w:b/>
          <w:sz w:val="24"/>
          <w:szCs w:val="24"/>
        </w:rPr>
      </w:pPr>
      <w:r/>
      <w:bookmarkStart w:id="107" w:name="_Toc426469881"/>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8</w:t>
      </w:r>
      <w:r>
        <w:rPr>
          <w:rFonts w:hint="eastAsia" w:cs="宋体" w:asciiTheme="minorEastAsia" w:hAnsiTheme="minorEastAsia" w:eastAsiaTheme="minorEastAsia"/>
          <w:b/>
          <w:sz w:val="24"/>
          <w:szCs w:val="24"/>
        </w:rPr>
        <w:t xml:space="preserve">偏离</w:t>
      </w:r>
      <w:bookmarkEnd w:id="107"/>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8</w:t>
      </w:r>
      <w:r>
        <w:rPr>
          <w:rFonts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偏离是指投标文件中的内容与招标文件中规定的技术参数、标准、服务要求等不一致的情形。优于招标文件规定的技术参数、标准、服务要求的为正偏离，反之为负偏离。</w:t>
      </w:r>
      <w:r/>
    </w:p>
    <w:p>
      <w:pPr>
        <w:ind w:firstLine="480"/>
        <w:spacing w:line="490" w:lineRule="exact"/>
        <w:rPr>
          <w:rFonts w:cs="宋体"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8</w:t>
      </w:r>
      <w:r>
        <w:rPr>
          <w:rFonts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偏离的具体要求见投标人须知前附表。</w:t>
      </w:r>
      <w:r/>
    </w:p>
    <w:p>
      <w:pPr>
        <w:ind w:firstLine="643"/>
        <w:spacing w:line="490" w:lineRule="exact"/>
        <w:rPr>
          <w:rFonts w:asciiTheme="minorEastAsia" w:hAnsiTheme="minorEastAsia" w:eastAsiaTheme="minorEastAsia"/>
          <w:b/>
          <w:sz w:val="28"/>
          <w:szCs w:val="28"/>
        </w:rPr>
      </w:pPr>
      <w:r/>
      <w:bookmarkStart w:id="108" w:name="_Toc343525517"/>
      <w:r/>
      <w:bookmarkStart w:id="109" w:name="_Toc383438604"/>
      <w:r/>
      <w:bookmarkStart w:id="110" w:name="_Toc426469882"/>
      <w:r>
        <w:rPr>
          <w:rFonts w:asciiTheme="minorEastAsia" w:hAnsiTheme="minorEastAsia" w:eastAsiaTheme="minorEastAsia"/>
          <w:b/>
          <w:sz w:val="28"/>
          <w:szCs w:val="28"/>
        </w:rPr>
        <w:t xml:space="preserve">2. </w:t>
      </w:r>
      <w:r>
        <w:rPr>
          <w:rFonts w:hint="eastAsia" w:cs="宋体" w:asciiTheme="minorEastAsia" w:hAnsiTheme="minorEastAsia" w:eastAsiaTheme="minorEastAsia"/>
          <w:b/>
          <w:sz w:val="28"/>
          <w:szCs w:val="28"/>
        </w:rPr>
        <w:t xml:space="preserve">招标文件</w:t>
      </w:r>
      <w:bookmarkEnd w:id="108"/>
      <w:r/>
      <w:bookmarkEnd w:id="109"/>
      <w:r/>
      <w:bookmarkEnd w:id="110"/>
      <w:r/>
      <w:r/>
    </w:p>
    <w:p>
      <w:pPr>
        <w:ind w:firstLine="562"/>
        <w:spacing w:line="490" w:lineRule="exact"/>
        <w:rPr>
          <w:rFonts w:asciiTheme="minorEastAsia" w:hAnsiTheme="minorEastAsia" w:eastAsiaTheme="minorEastAsia"/>
          <w:b/>
          <w:sz w:val="24"/>
          <w:szCs w:val="24"/>
        </w:rPr>
      </w:pPr>
      <w:r/>
      <w:bookmarkStart w:id="111" w:name="_Toc179632561"/>
      <w:r/>
      <w:bookmarkStart w:id="112" w:name="_Toc247085702"/>
      <w:r/>
      <w:bookmarkStart w:id="113" w:name="_Toc426469883"/>
      <w:r/>
      <w:bookmarkStart w:id="114" w:name="_Toc383438605"/>
      <w:r/>
      <w:bookmarkStart w:id="115" w:name="_Toc152042319"/>
      <w:r/>
      <w:bookmarkStart w:id="116" w:name="_Toc246996931"/>
      <w:r/>
      <w:bookmarkStart w:id="117" w:name="_Toc343525518"/>
      <w:r/>
      <w:bookmarkStart w:id="118" w:name="_Toc152045543"/>
      <w:r/>
      <w:bookmarkStart w:id="119" w:name="_Toc144974511"/>
      <w:r/>
      <w:bookmarkStart w:id="120" w:name="_Toc246996188"/>
      <w:r>
        <w:rPr>
          <w:rFonts w:asciiTheme="minorEastAsia" w:hAnsiTheme="minorEastAsia" w:eastAsiaTheme="minorEastAsia"/>
          <w:b/>
          <w:sz w:val="24"/>
          <w:szCs w:val="24"/>
        </w:rPr>
        <w:t xml:space="preserve">2.1 </w:t>
      </w:r>
      <w:r>
        <w:rPr>
          <w:rFonts w:hint="eastAsia" w:cs="宋体" w:asciiTheme="minorEastAsia" w:hAnsiTheme="minorEastAsia" w:eastAsiaTheme="minorEastAsia"/>
          <w:b/>
          <w:sz w:val="24"/>
          <w:szCs w:val="24"/>
        </w:rPr>
        <w:t xml:space="preserve">招标文件的组成</w:t>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2.1.1 </w:t>
      </w:r>
      <w:r>
        <w:rPr>
          <w:rFonts w:hint="eastAsia" w:cs="宋体" w:asciiTheme="minorEastAsia" w:hAnsiTheme="minorEastAsia" w:eastAsiaTheme="minorEastAsia"/>
          <w:sz w:val="24"/>
          <w:szCs w:val="24"/>
        </w:rPr>
        <w:t xml:space="preserve">本招标文件包括：</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）采购公告；</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）投标人须知；</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）资格审查及评标办法；</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）合同条款及格式；</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采购需求</w:t>
      </w:r>
      <w:r>
        <w:rPr>
          <w:rFonts w:hint="eastAsia" w:cs="宋体" w:asciiTheme="minorEastAsia" w:hAnsiTheme="minorEastAsia" w:eastAsiaTheme="minorEastAsia"/>
          <w:sz w:val="24"/>
          <w:szCs w:val="24"/>
        </w:rPr>
        <w:t xml:space="preserve">；</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）投标文件的编制要求及参考格式；</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）投标人须知前附表规定的构成招标文件的其他材料。</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2.1.2</w:t>
      </w:r>
      <w:r>
        <w:rPr>
          <w:rFonts w:hint="eastAsia" w:cs="宋体" w:asciiTheme="minorEastAsia" w:hAnsiTheme="minorEastAsia" w:eastAsiaTheme="minorEastAsia"/>
          <w:sz w:val="24"/>
          <w:szCs w:val="24"/>
        </w:rPr>
        <w:t xml:space="preserve">根据本章第</w:t>
      </w:r>
      <w:r>
        <w:rPr>
          <w:rFonts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款和第</w:t>
      </w:r>
      <w:r>
        <w:rPr>
          <w:rFonts w:asciiTheme="minorEastAsia" w:hAnsiTheme="minorEastAsia" w:eastAsiaTheme="minorEastAsia"/>
          <w:sz w:val="24"/>
          <w:szCs w:val="24"/>
        </w:rPr>
        <w:t xml:space="preserve">2.3</w:t>
      </w:r>
      <w:r>
        <w:rPr>
          <w:rFonts w:hint="eastAsia" w:cs="宋体" w:asciiTheme="minorEastAsia" w:hAnsiTheme="minorEastAsia" w:eastAsiaTheme="minorEastAsia"/>
          <w:sz w:val="24"/>
          <w:szCs w:val="24"/>
        </w:rPr>
        <w:t xml:space="preserve">款对招标文件所作的澄清、修改，构成招标文件的组成部分</w:t>
      </w:r>
      <w:r>
        <w:rPr>
          <w:rFonts w:hint="eastAsia" w:asciiTheme="minorEastAsia" w:hAnsiTheme="minorEastAsia" w:eastAsiaTheme="minorEastAsia"/>
          <w:sz w:val="24"/>
          <w:szCs w:val="24"/>
        </w:rPr>
        <w:t xml:space="preserve">。</w:t>
      </w:r>
      <w:r/>
    </w:p>
    <w:p>
      <w:pPr>
        <w:ind w:firstLine="562"/>
        <w:spacing w:line="490" w:lineRule="exact"/>
        <w:rPr>
          <w:rFonts w:asciiTheme="minorEastAsia" w:hAnsiTheme="minorEastAsia" w:eastAsiaTheme="minorEastAsia"/>
          <w:b/>
          <w:sz w:val="24"/>
          <w:szCs w:val="24"/>
        </w:rPr>
      </w:pPr>
      <w:r/>
      <w:bookmarkStart w:id="121" w:name="_Toc426469884"/>
      <w:r/>
      <w:bookmarkStart w:id="122" w:name="_Toc343525519"/>
      <w:r/>
      <w:bookmarkStart w:id="123" w:name="_Toc152042320"/>
      <w:r/>
      <w:bookmarkStart w:id="124" w:name="_Toc383438606"/>
      <w:r/>
      <w:bookmarkStart w:id="125" w:name="_Toc144974512"/>
      <w:r/>
      <w:bookmarkStart w:id="126" w:name="_Toc152045544"/>
      <w:r/>
      <w:bookmarkStart w:id="127" w:name="_Toc246996932"/>
      <w:r/>
      <w:bookmarkStart w:id="128" w:name="_Toc247085703"/>
      <w:r/>
      <w:bookmarkStart w:id="129" w:name="_Toc179632562"/>
      <w:r/>
      <w:bookmarkStart w:id="130" w:name="_Toc246996189"/>
      <w:r>
        <w:rPr>
          <w:rFonts w:asciiTheme="minorEastAsia" w:hAnsiTheme="minorEastAsia" w:eastAsiaTheme="minorEastAsia"/>
          <w:b/>
          <w:sz w:val="24"/>
          <w:szCs w:val="24"/>
        </w:rPr>
        <w:t xml:space="preserve">2.2 </w:t>
      </w:r>
      <w:r>
        <w:rPr>
          <w:rFonts w:hint="eastAsia" w:cs="宋体" w:asciiTheme="minorEastAsia" w:hAnsiTheme="minorEastAsia" w:eastAsiaTheme="minorEastAsia"/>
          <w:b/>
          <w:sz w:val="24"/>
          <w:szCs w:val="24"/>
        </w:rPr>
        <w:t xml:space="preserve">招标文件的澄清</w:t>
      </w:r>
      <w:bookmarkEnd w:id="121"/>
      <w:r/>
      <w:bookmarkEnd w:id="122"/>
      <w:r/>
      <w:bookmarkEnd w:id="123"/>
      <w:r/>
      <w:bookmarkEnd w:id="124"/>
      <w:r/>
      <w:bookmarkEnd w:id="125"/>
      <w:r/>
      <w:bookmarkEnd w:id="126"/>
      <w:r/>
      <w:bookmarkEnd w:id="127"/>
      <w:r/>
      <w:bookmarkEnd w:id="128"/>
      <w:r/>
      <w:bookmarkEnd w:id="129"/>
      <w:r/>
      <w:bookmarkEnd w:id="130"/>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应仔细阅读和检查招标文件的全部内容。如发现缺页或附件不全，应及时向采购人或采购代理机构提出，以便补齐。如有疑问，应在投标人须知前附表规定的时间前，要求采购人或采购代理机构对招标文件予以澄清。</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招标文件的澄清将在投标截止时间</w:t>
      </w:r>
      <w:r>
        <w:rPr>
          <w:rFonts w:asciiTheme="minorEastAsia" w:hAnsiTheme="minorEastAsia" w:eastAsiaTheme="minorEastAsia"/>
          <w:sz w:val="24"/>
          <w:szCs w:val="24"/>
        </w:rPr>
        <w:t xml:space="preserve">15</w:t>
      </w:r>
      <w:r>
        <w:rPr>
          <w:rFonts w:hint="eastAsia" w:cs="宋体" w:asciiTheme="minorEastAsia" w:hAnsiTheme="minorEastAsia" w:eastAsiaTheme="minorEastAsia"/>
          <w:sz w:val="24"/>
          <w:szCs w:val="24"/>
        </w:rPr>
        <w:t xml:space="preserve">天前在原公告信息发布媒体公开发布</w:t>
      </w:r>
      <w:r>
        <w:rPr>
          <w:rFonts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但不指明问题的来源。如果澄清发布的时间距投标截止时间不足</w:t>
      </w:r>
      <w:r>
        <w:rPr>
          <w:rFonts w:asciiTheme="minorEastAsia" w:hAnsiTheme="minorEastAsia" w:eastAsiaTheme="minorEastAsia"/>
          <w:sz w:val="24"/>
          <w:szCs w:val="24"/>
        </w:rPr>
        <w:t xml:space="preserve">15</w:t>
      </w:r>
      <w:r>
        <w:rPr>
          <w:rFonts w:hint="eastAsia" w:cs="宋体" w:asciiTheme="minorEastAsia" w:hAnsiTheme="minorEastAsia" w:eastAsiaTheme="minorEastAsia"/>
          <w:sz w:val="24"/>
          <w:szCs w:val="24"/>
        </w:rPr>
        <w:t xml:space="preserve">天，并且澄清内容影响投标文件编制的，将相应延长投标截止时间。</w:t>
      </w:r>
      <w:r/>
    </w:p>
    <w:p>
      <w:pPr>
        <w:ind w:firstLine="562"/>
        <w:spacing w:line="490" w:lineRule="exact"/>
        <w:rPr>
          <w:rFonts w:asciiTheme="minorEastAsia" w:hAnsiTheme="minorEastAsia" w:eastAsiaTheme="minorEastAsia"/>
          <w:b/>
          <w:sz w:val="24"/>
          <w:szCs w:val="24"/>
        </w:rPr>
      </w:pPr>
      <w:r/>
      <w:bookmarkStart w:id="131" w:name="_Toc246996190"/>
      <w:r/>
      <w:bookmarkStart w:id="132" w:name="_Toc246996933"/>
      <w:r/>
      <w:bookmarkStart w:id="133" w:name="_Toc144974513"/>
      <w:r/>
      <w:bookmarkStart w:id="134" w:name="_Toc383438607"/>
      <w:r/>
      <w:bookmarkStart w:id="135" w:name="_Toc247085704"/>
      <w:r/>
      <w:bookmarkStart w:id="136" w:name="_Toc426469885"/>
      <w:r/>
      <w:bookmarkStart w:id="137" w:name="_Toc179632563"/>
      <w:r/>
      <w:bookmarkStart w:id="138" w:name="_Toc152045545"/>
      <w:r/>
      <w:bookmarkStart w:id="139" w:name="_Toc343525520"/>
      <w:r/>
      <w:bookmarkStart w:id="140" w:name="_Toc152042321"/>
      <w:r>
        <w:rPr>
          <w:rFonts w:asciiTheme="minorEastAsia" w:hAnsiTheme="minorEastAsia" w:eastAsiaTheme="minorEastAsia"/>
          <w:b/>
          <w:sz w:val="24"/>
          <w:szCs w:val="24"/>
        </w:rPr>
        <w:t xml:space="preserve">2.3 </w:t>
      </w:r>
      <w:r>
        <w:rPr>
          <w:rFonts w:hint="eastAsia" w:cs="宋体" w:asciiTheme="minorEastAsia" w:hAnsiTheme="minorEastAsia" w:eastAsiaTheme="minorEastAsia"/>
          <w:b/>
          <w:sz w:val="24"/>
          <w:szCs w:val="24"/>
        </w:rPr>
        <w:t xml:space="preserve">招标文件的修改</w:t>
      </w:r>
      <w:bookmarkEnd w:id="131"/>
      <w:r/>
      <w:bookmarkEnd w:id="132"/>
      <w:r/>
      <w:bookmarkEnd w:id="133"/>
      <w:r/>
      <w:bookmarkEnd w:id="134"/>
      <w:r/>
      <w:bookmarkEnd w:id="135"/>
      <w:r/>
      <w:bookmarkEnd w:id="136"/>
      <w:r/>
      <w:bookmarkEnd w:id="137"/>
      <w:r/>
      <w:bookmarkEnd w:id="138"/>
      <w:r/>
      <w:bookmarkEnd w:id="139"/>
      <w:r/>
      <w:bookmarkEnd w:id="140"/>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对已发出的招标文件可以进行必要的修改，修改后的内容是招标文件的组成部分，并将在原公告信息发布媒体公开发布。如果修改招标文件的时间距投标截止时间不足</w:t>
      </w:r>
      <w:r>
        <w:rPr>
          <w:rFonts w:cs="宋体" w:asciiTheme="minorEastAsia" w:hAnsiTheme="minorEastAsia" w:eastAsiaTheme="minorEastAsia"/>
          <w:sz w:val="24"/>
          <w:szCs w:val="24"/>
        </w:rPr>
        <w:t xml:space="preserve">15</w:t>
      </w:r>
      <w:r>
        <w:rPr>
          <w:rFonts w:hint="eastAsia" w:cs="宋体" w:asciiTheme="minorEastAsia" w:hAnsiTheme="minorEastAsia" w:eastAsiaTheme="minorEastAsia"/>
          <w:sz w:val="24"/>
          <w:szCs w:val="24"/>
        </w:rPr>
        <w:t xml:space="preserve">天，并且修改内容影响投标文件编制的，将相应延长投标截止时间。</w:t>
      </w:r>
      <w:r/>
    </w:p>
    <w:p>
      <w:pPr>
        <w:ind w:firstLine="562"/>
        <w:spacing w:line="49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2.4招标文件的重新发布</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招标文件的澄清或修改涉及到申请人的资格条件、评标办法、采购需求等实质性内容时，将重新发布采购公告。</w:t>
      </w:r>
      <w:r/>
    </w:p>
    <w:p>
      <w:pPr>
        <w:ind w:firstLine="643"/>
        <w:spacing w:line="490" w:lineRule="exact"/>
        <w:rPr>
          <w:rFonts w:asciiTheme="minorEastAsia" w:hAnsiTheme="minorEastAsia" w:eastAsiaTheme="minorEastAsia"/>
          <w:b/>
          <w:sz w:val="28"/>
          <w:szCs w:val="28"/>
        </w:rPr>
      </w:pPr>
      <w:r/>
      <w:bookmarkStart w:id="141" w:name="_Toc383438609"/>
      <w:r/>
      <w:bookmarkStart w:id="142" w:name="_Toc152045546"/>
      <w:r/>
      <w:bookmarkStart w:id="143" w:name="_Toc246996934"/>
      <w:r/>
      <w:bookmarkStart w:id="144" w:name="_Toc247085705"/>
      <w:r/>
      <w:bookmarkStart w:id="145" w:name="_Toc179632564"/>
      <w:r/>
      <w:bookmarkStart w:id="146" w:name="_Toc246996191"/>
      <w:r/>
      <w:bookmarkStart w:id="147" w:name="_Toc343525522"/>
      <w:r/>
      <w:bookmarkStart w:id="148" w:name="_Toc152042322"/>
      <w:r/>
      <w:bookmarkStart w:id="149" w:name="_Toc144974514"/>
      <w:r/>
      <w:bookmarkStart w:id="150" w:name="_Toc426469887"/>
      <w:r>
        <w:rPr>
          <w:rFonts w:asciiTheme="minorEastAsia" w:hAnsiTheme="minorEastAsia" w:eastAsiaTheme="minorEastAsia"/>
          <w:b/>
          <w:sz w:val="28"/>
          <w:szCs w:val="28"/>
        </w:rPr>
        <w:t xml:space="preserve">3. </w:t>
      </w:r>
      <w:r>
        <w:rPr>
          <w:rFonts w:hint="eastAsia" w:cs="宋体" w:asciiTheme="minorEastAsia" w:hAnsiTheme="minorEastAsia" w:eastAsiaTheme="minorEastAsia"/>
          <w:b/>
          <w:sz w:val="28"/>
          <w:szCs w:val="28"/>
        </w:rPr>
        <w:t xml:space="preserve">投标</w:t>
      </w:r>
      <w:bookmarkEnd w:id="141"/>
      <w:r/>
      <w:bookmarkEnd w:id="142"/>
      <w:r/>
      <w:bookmarkEnd w:id="143"/>
      <w:r/>
      <w:bookmarkEnd w:id="144"/>
      <w:r/>
      <w:bookmarkEnd w:id="145"/>
      <w:r/>
      <w:bookmarkEnd w:id="146"/>
      <w:r/>
      <w:bookmarkEnd w:id="147"/>
      <w:r/>
      <w:bookmarkEnd w:id="148"/>
      <w:r/>
      <w:bookmarkEnd w:id="149"/>
      <w:r>
        <w:rPr>
          <w:rFonts w:hint="eastAsia" w:cs="宋体" w:asciiTheme="minorEastAsia" w:hAnsiTheme="minorEastAsia" w:eastAsiaTheme="minorEastAsia"/>
          <w:b/>
          <w:sz w:val="28"/>
          <w:szCs w:val="28"/>
        </w:rPr>
        <w:t xml:space="preserve">文件</w:t>
      </w:r>
      <w:bookmarkEnd w:id="150"/>
      <w:r/>
      <w:r/>
    </w:p>
    <w:p>
      <w:pPr>
        <w:ind w:firstLine="562"/>
        <w:spacing w:line="490" w:lineRule="exact"/>
        <w:rPr>
          <w:rFonts w:cs="宋体" w:asciiTheme="minorEastAsia" w:hAnsiTheme="minorEastAsia" w:eastAsiaTheme="minorEastAsia"/>
          <w:b/>
          <w:sz w:val="24"/>
          <w:szCs w:val="24"/>
        </w:rPr>
      </w:pPr>
      <w:r/>
      <w:bookmarkStart w:id="151" w:name="_Toc247085706"/>
      <w:r/>
      <w:bookmarkStart w:id="152" w:name="_Toc144974515"/>
      <w:r/>
      <w:bookmarkStart w:id="153" w:name="_Toc383438610"/>
      <w:r/>
      <w:bookmarkStart w:id="154" w:name="_Toc152045547"/>
      <w:r/>
      <w:bookmarkStart w:id="155" w:name="_Toc246996935"/>
      <w:r/>
      <w:bookmarkStart w:id="156" w:name="_Toc343525523"/>
      <w:r/>
      <w:bookmarkStart w:id="157" w:name="_Toc179632565"/>
      <w:r/>
      <w:bookmarkStart w:id="158" w:name="_Toc152042323"/>
      <w:r/>
      <w:bookmarkStart w:id="159" w:name="_Toc246996192"/>
      <w:r/>
      <w:bookmarkStart w:id="160" w:name="_Toc426469888"/>
      <w:r>
        <w:rPr>
          <w:rFonts w:asciiTheme="minorEastAsia" w:hAnsiTheme="minorEastAsia" w:eastAsiaTheme="minorEastAsia"/>
          <w:b/>
          <w:sz w:val="24"/>
          <w:szCs w:val="24"/>
        </w:rPr>
        <w:t xml:space="preserve">3</w:t>
      </w:r>
      <w:r>
        <w:rPr>
          <w:rFonts w:cs="宋体" w:asciiTheme="minorEastAsia" w:hAnsiTheme="minorEastAsia" w:eastAsiaTheme="minorEastAsia"/>
          <w:b/>
          <w:sz w:val="24"/>
          <w:szCs w:val="24"/>
        </w:rPr>
        <w:t xml:space="preserve">.1</w:t>
      </w:r>
      <w:bookmarkEnd w:id="151"/>
      <w:r/>
      <w:bookmarkEnd w:id="152"/>
      <w:r/>
      <w:bookmarkEnd w:id="153"/>
      <w:r/>
      <w:bookmarkEnd w:id="154"/>
      <w:r/>
      <w:bookmarkEnd w:id="155"/>
      <w:r/>
      <w:bookmarkEnd w:id="156"/>
      <w:r/>
      <w:bookmarkEnd w:id="157"/>
      <w:r/>
      <w:bookmarkEnd w:id="158"/>
      <w:r/>
      <w:bookmarkEnd w:id="159"/>
      <w:r>
        <w:rPr>
          <w:rFonts w:hint="eastAsia" w:cs="宋体" w:asciiTheme="minorEastAsia" w:hAnsiTheme="minorEastAsia" w:eastAsiaTheme="minorEastAsia"/>
          <w:b/>
          <w:sz w:val="24"/>
          <w:szCs w:val="24"/>
        </w:rPr>
        <w:t xml:space="preserve">投标文件的组成</w:t>
      </w:r>
      <w:bookmarkEnd w:id="160"/>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投标文件的组成：见投标人须知前附表。</w:t>
      </w:r>
      <w:r/>
    </w:p>
    <w:p>
      <w:pPr>
        <w:ind w:firstLine="562"/>
        <w:spacing w:line="490" w:lineRule="exact"/>
        <w:rPr>
          <w:rFonts w:cs="宋体" w:asciiTheme="minorEastAsia" w:hAnsiTheme="minorEastAsia" w:eastAsiaTheme="minorEastAsia"/>
          <w:b/>
          <w:sz w:val="24"/>
          <w:szCs w:val="24"/>
        </w:rPr>
      </w:pPr>
      <w:r/>
      <w:bookmarkStart w:id="161" w:name="_Toc367785004"/>
      <w:r/>
      <w:bookmarkStart w:id="162" w:name="_Toc426469889"/>
      <w:r>
        <w:rPr>
          <w:rFonts w:cs="宋体" w:asciiTheme="minorEastAsia" w:hAnsiTheme="minorEastAsia" w:eastAsiaTheme="minorEastAsia"/>
          <w:b/>
          <w:sz w:val="24"/>
          <w:szCs w:val="24"/>
        </w:rPr>
        <w:t xml:space="preserve">3.2</w:t>
      </w:r>
      <w:bookmarkEnd w:id="161"/>
      <w:r>
        <w:rPr>
          <w:rFonts w:hint="eastAsia" w:cs="宋体" w:asciiTheme="minorEastAsia" w:hAnsiTheme="minorEastAsia" w:eastAsiaTheme="minorEastAsia"/>
          <w:b/>
          <w:sz w:val="24"/>
          <w:szCs w:val="24"/>
        </w:rPr>
        <w:t xml:space="preserve">投标报价</w:t>
      </w:r>
      <w:bookmarkEnd w:id="162"/>
      <w:r/>
      <w:r/>
    </w:p>
    <w:p>
      <w:pPr>
        <w:ind w:firstLine="480"/>
        <w:spacing w:line="490" w:lineRule="exact"/>
        <w:rPr>
          <w:rFonts w:cs="宋体" w:asciiTheme="minorEastAsia" w:hAnsiTheme="minorEastAsia" w:eastAsiaTheme="minorEastAsia"/>
          <w:sz w:val="24"/>
          <w:szCs w:val="24"/>
        </w:rPr>
      </w:pPr>
      <w:r/>
      <w:bookmarkStart w:id="163" w:name="_Toc152042325"/>
      <w:r/>
      <w:bookmarkStart w:id="164" w:name="_Toc246996194"/>
      <w:r/>
      <w:bookmarkStart w:id="165" w:name="_Toc179632567"/>
      <w:r/>
      <w:bookmarkStart w:id="166" w:name="_Toc246996937"/>
      <w:r/>
      <w:bookmarkStart w:id="167" w:name="_Toc144974517"/>
      <w:r/>
      <w:bookmarkStart w:id="168" w:name="_Toc343525525"/>
      <w:r/>
      <w:bookmarkStart w:id="169" w:name="_Toc426469890"/>
      <w:r/>
      <w:bookmarkStart w:id="170" w:name="_Toc383438612"/>
      <w:r/>
      <w:bookmarkStart w:id="171" w:name="_Toc152045549"/>
      <w:r/>
      <w:bookmarkStart w:id="172" w:name="_Toc247085708"/>
      <w:r>
        <w:rPr>
          <w:rFonts w:hint="eastAsia" w:cs="宋体" w:asciiTheme="minorEastAsia" w:hAnsiTheme="minorEastAsia" w:eastAsiaTheme="minorEastAsia"/>
          <w:sz w:val="24"/>
          <w:szCs w:val="24"/>
        </w:rPr>
        <w:t xml:space="preserve">3.2.1投标人应按招标文件规定的采购需求、责任范围和合同条件，以人民币进行报价。报价包括完成项目的所有费用，采购人不再支付报价以外的任何费用。</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3.2.2投标人应按开标一览表的内容和格式要求填写价格。投标总价中不得缺漏招标文件所要求的内容，也不得包含招标文件要求以外的内容，否则，在评标时不予核减。</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3.2.3投标人只允许有一个报价，不接受选择性报价，否则，在评标时将其视为无效投标。</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3.2.4投标报价不得超过采购最高限价。</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3.2.5投标文件中标明的价格在合同执行过程中是固定不变的，不得以任何理由予以变更。任何包含价格调整要求和条件的投标，在评标时将被视为无效投标。</w:t>
      </w:r>
      <w:r/>
    </w:p>
    <w:p>
      <w:pPr>
        <w:ind w:firstLine="562"/>
        <w:spacing w:line="49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3.3</w:t>
      </w:r>
      <w:r>
        <w:rPr>
          <w:rFonts w:hint="eastAsia" w:cs="宋体" w:asciiTheme="minorEastAsia" w:hAnsiTheme="minorEastAsia" w:eastAsiaTheme="minorEastAsia"/>
          <w:b/>
          <w:sz w:val="24"/>
          <w:szCs w:val="24"/>
        </w:rPr>
        <w:t xml:space="preserve">投标有效期</w:t>
      </w:r>
      <w:bookmarkEnd w:id="163"/>
      <w:r/>
      <w:bookmarkEnd w:id="164"/>
      <w:r/>
      <w:bookmarkEnd w:id="165"/>
      <w:r/>
      <w:bookmarkEnd w:id="166"/>
      <w:r/>
      <w:bookmarkEnd w:id="167"/>
      <w:r/>
      <w:bookmarkEnd w:id="168"/>
      <w:r/>
      <w:bookmarkEnd w:id="169"/>
      <w:r/>
      <w:bookmarkEnd w:id="170"/>
      <w:r/>
      <w:bookmarkEnd w:id="171"/>
      <w:r/>
      <w:bookmarkEnd w:id="172"/>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3.3.1在</w:t>
      </w:r>
      <w:r>
        <w:rPr>
          <w:rFonts w:hint="eastAsia" w:cs="宋体" w:asciiTheme="minorEastAsia" w:hAnsiTheme="minorEastAsia" w:eastAsiaTheme="minorEastAsia"/>
          <w:sz w:val="24"/>
          <w:szCs w:val="24"/>
        </w:rPr>
        <w:t xml:space="preserve">投标人须知前附表规定的投标有效期内，投标人不得要求撤销或修改其投标文件。</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3.3.2</w:t>
      </w:r>
      <w:r>
        <w:rPr>
          <w:rFonts w:hint="eastAsia" w:cs="宋体" w:asciiTheme="minorEastAsia" w:hAnsiTheme="minorEastAsia" w:eastAsiaTheme="minorEastAsia"/>
          <w:sz w:val="24"/>
          <w:szCs w:val="24"/>
        </w:rPr>
        <w:t xml:space="preserve">出现特殊情况需要延长投标有效期的，采购人将以书面形式通知投标人。投标人拒绝延长投标有效期的，其投标失效。</w:t>
      </w:r>
      <w:r/>
    </w:p>
    <w:p>
      <w:pPr>
        <w:ind w:firstLine="562"/>
        <w:spacing w:line="490" w:lineRule="exact"/>
        <w:rPr>
          <w:rFonts w:asciiTheme="minorEastAsia" w:hAnsiTheme="minorEastAsia" w:eastAsiaTheme="minorEastAsia"/>
          <w:b/>
          <w:sz w:val="24"/>
          <w:szCs w:val="24"/>
        </w:rPr>
      </w:pPr>
      <w:r/>
      <w:bookmarkStart w:id="173" w:name="_Toc426469892"/>
      <w:r>
        <w:rPr>
          <w:rFonts w:asciiTheme="minorEastAsia" w:hAnsiTheme="minorEastAsia" w:eastAsiaTheme="minorEastAsia"/>
          <w:b/>
          <w:sz w:val="24"/>
          <w:szCs w:val="24"/>
        </w:rPr>
        <w:t xml:space="preserve">3.4</w:t>
      </w:r>
      <w:r>
        <w:rPr>
          <w:rFonts w:hint="eastAsia" w:cs="宋体" w:asciiTheme="minorEastAsia" w:hAnsiTheme="minorEastAsia" w:eastAsiaTheme="minorEastAsia"/>
          <w:b/>
          <w:sz w:val="24"/>
          <w:szCs w:val="24"/>
        </w:rPr>
        <w:t xml:space="preserve">投标文件的编制</w:t>
      </w:r>
      <w:bookmarkEnd w:id="173"/>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3.4.1</w:t>
      </w:r>
      <w:r>
        <w:rPr>
          <w:rFonts w:hint="eastAsia" w:cs="宋体" w:asciiTheme="minorEastAsia" w:hAnsiTheme="minorEastAsia" w:eastAsiaTheme="minorEastAsia"/>
          <w:sz w:val="24"/>
          <w:szCs w:val="24"/>
        </w:rPr>
        <w:t xml:space="preserve">投标人可以按照第六章</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投标文件的编制要求及参考格式</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要求编制投标文件。需另行增加的相关内容和材料应编入投标文件相应章节，作为投标文件的组成部分。</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3.4.2</w:t>
      </w:r>
      <w:r>
        <w:rPr>
          <w:rFonts w:hint="eastAsia" w:asciiTheme="minorEastAsia" w:hAnsiTheme="minorEastAsia" w:eastAsiaTheme="minorEastAsia"/>
          <w:sz w:val="24"/>
          <w:szCs w:val="24"/>
        </w:rPr>
        <w:t xml:space="preserve">投标人</w:t>
      </w:r>
      <w:r>
        <w:rPr>
          <w:rFonts w:asciiTheme="minorEastAsia" w:hAnsiTheme="minorEastAsia" w:eastAsiaTheme="minorEastAsia"/>
          <w:sz w:val="24"/>
          <w:szCs w:val="24"/>
        </w:rPr>
        <w:t xml:space="preserve">应对招标文件中的资格要求、</w:t>
      </w:r>
      <w:r>
        <w:rPr>
          <w:rFonts w:hint="eastAsia" w:cs="宋体" w:asciiTheme="minorEastAsia" w:hAnsiTheme="minorEastAsia" w:eastAsiaTheme="minorEastAsia"/>
          <w:sz w:val="24"/>
          <w:szCs w:val="24"/>
        </w:rPr>
        <w:t xml:space="preserve">合同履行期限、投标有效期、技术、服务标准和要求等实质性内容作出响应，并根据评审因素提供相应的证明材料。</w:t>
      </w:r>
      <w:r/>
    </w:p>
    <w:p>
      <w:pPr>
        <w:ind w:firstLine="480"/>
        <w:spacing w:line="49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3.4.3 投标文件的数量：见投标人须知前附表</w:t>
      </w:r>
      <w:r/>
    </w:p>
    <w:p>
      <w:pPr>
        <w:ind w:firstLine="480"/>
        <w:spacing w:line="490" w:lineRule="exact"/>
        <w:rPr>
          <w:rFonts w:asciiTheme="minorEastAsia" w:hAnsiTheme="minorEastAsia" w:eastAsiaTheme="minorEastAsia"/>
          <w:sz w:val="24"/>
          <w:szCs w:val="24"/>
        </w:rPr>
      </w:pPr>
      <w:r/>
      <w:bookmarkStart w:id="174" w:name="_Toc367785016"/>
      <w:r/>
      <w:bookmarkStart w:id="175" w:name="_Toc426469894"/>
      <w:r>
        <w:rPr>
          <w:rFonts w:hint="eastAsia" w:asciiTheme="minorEastAsia" w:hAnsiTheme="minorEastAsia" w:eastAsiaTheme="minorEastAsia"/>
          <w:sz w:val="24"/>
          <w:szCs w:val="24"/>
        </w:rPr>
        <w:t xml:space="preserve">3.4.4投标文件的签署：见投标人须知前附表</w:t>
      </w:r>
      <w:bookmarkEnd w:id="46"/>
      <w:r/>
      <w:bookmarkEnd w:id="174"/>
      <w:r/>
      <w:bookmarkEnd w:id="175"/>
      <w:r/>
      <w:r/>
    </w:p>
    <w:p>
      <w:pPr>
        <w:ind w:firstLine="640"/>
        <w:spacing w:line="49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4.</w:t>
      </w:r>
      <w:r>
        <w:rPr>
          <w:rFonts w:hint="eastAsia" w:cs="宋体" w:asciiTheme="minorEastAsia" w:hAnsiTheme="minorEastAsia" w:eastAsiaTheme="minorEastAsia"/>
          <w:sz w:val="28"/>
          <w:szCs w:val="28"/>
        </w:rPr>
        <w:t xml:space="preserve">投标</w:t>
      </w:r>
      <w:r/>
    </w:p>
    <w:p>
      <w:pPr>
        <w:ind w:firstLine="562"/>
        <w:spacing w:line="490" w:lineRule="exact"/>
        <w:rPr>
          <w:rFonts w:cs="宋体" w:asciiTheme="minorEastAsia" w:hAnsiTheme="minorEastAsia" w:eastAsiaTheme="minorEastAsia"/>
          <w:b/>
          <w:bCs/>
          <w:sz w:val="24"/>
          <w:szCs w:val="24"/>
        </w:rPr>
      </w:pPr>
      <w:r>
        <w:rPr>
          <w:rFonts w:asciiTheme="minorEastAsia" w:hAnsiTheme="minorEastAsia" w:eastAsiaTheme="minorEastAsia"/>
          <w:b/>
          <w:sz w:val="24"/>
          <w:szCs w:val="24"/>
        </w:rPr>
        <w:t xml:space="preserve">4.1</w:t>
      </w:r>
      <w:r>
        <w:rPr>
          <w:rFonts w:hint="eastAsia" w:cs="宋体" w:asciiTheme="minorEastAsia" w:hAnsiTheme="minorEastAsia" w:eastAsiaTheme="minorEastAsia"/>
          <w:b/>
          <w:bCs/>
          <w:sz w:val="24"/>
          <w:szCs w:val="24"/>
        </w:rPr>
        <w:t xml:space="preserve">投标文件的上传</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投标人应充分考虑</w:t>
      </w:r>
      <w:r>
        <w:rPr>
          <w:rFonts w:cs="宋体" w:asciiTheme="minorEastAsia" w:hAnsiTheme="minorEastAsia" w:eastAsiaTheme="minorEastAsia"/>
          <w:sz w:val="24"/>
          <w:szCs w:val="24"/>
        </w:rPr>
        <w:t xml:space="preserve">网络及系统平台可能存在的非正常情况等</w:t>
      </w:r>
      <w:r>
        <w:rPr>
          <w:rFonts w:hint="eastAsia" w:cs="宋体" w:asciiTheme="minorEastAsia" w:hAnsiTheme="minorEastAsia" w:eastAsiaTheme="minorEastAsia"/>
          <w:sz w:val="24"/>
          <w:szCs w:val="24"/>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ind w:firstLine="562"/>
        <w:spacing w:line="49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4.2</w:t>
      </w:r>
      <w:r>
        <w:rPr>
          <w:rFonts w:hint="eastAsia" w:cs="宋体" w:asciiTheme="minorEastAsia" w:hAnsiTheme="minorEastAsia" w:eastAsiaTheme="minorEastAsia"/>
          <w:b/>
          <w:sz w:val="24"/>
          <w:szCs w:val="24"/>
        </w:rPr>
        <w:t xml:space="preserve">投标文件的修改与撤回</w:t>
      </w:r>
      <w:r/>
    </w:p>
    <w:p>
      <w:pPr>
        <w:ind w:firstLine="480"/>
        <w:spacing w:line="49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4.2.1</w:t>
      </w:r>
      <w:r>
        <w:rPr>
          <w:rFonts w:hint="eastAsia" w:cs="宋体" w:asciiTheme="minorEastAsia" w:hAnsiTheme="minorEastAsia" w:eastAsiaTheme="minorEastAsia"/>
          <w:sz w:val="24"/>
          <w:szCs w:val="24"/>
        </w:rPr>
        <w:t xml:space="preserve">在投标截止时间前，投标人可以修改或撤回已递交的投标文件。具体操作方法见《江苏省政府采购管理交易系统（苏采云）投标人操作手册》。</w:t>
      </w:r>
      <w:r/>
    </w:p>
    <w:p>
      <w:pPr>
        <w:ind w:firstLine="480"/>
        <w:spacing w:line="49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4.2.2</w:t>
      </w:r>
      <w:r>
        <w:rPr>
          <w:rFonts w:hint="eastAsia" w:cs="宋体" w:asciiTheme="minorEastAsia" w:hAnsiTheme="minorEastAsia" w:eastAsiaTheme="minorEastAsia"/>
          <w:sz w:val="24"/>
          <w:szCs w:val="24"/>
        </w:rPr>
        <w:t xml:space="preserve">修改的投标文件应按照本招标文件规定进行编制和重新上传。</w:t>
      </w:r>
      <w:r/>
    </w:p>
    <w:p>
      <w:pPr>
        <w:ind w:firstLine="562"/>
        <w:spacing w:line="49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4.3投标文件的确认</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投标人可以通过江苏省政府采购管理交易系统（苏采云）多次上传投标文件，以招标文件规定的投标截止时间前，江苏省政府采购管理交易系统（苏采云）接受到的最后一份投标文件为准。</w:t>
      </w:r>
      <w:r/>
    </w:p>
    <w:p>
      <w:pPr>
        <w:ind w:firstLine="640"/>
        <w:spacing w:line="49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5. </w:t>
      </w:r>
      <w:r>
        <w:rPr>
          <w:rFonts w:hint="eastAsia" w:asciiTheme="minorEastAsia" w:hAnsiTheme="minorEastAsia" w:eastAsiaTheme="minorEastAsia"/>
          <w:sz w:val="28"/>
          <w:szCs w:val="28"/>
        </w:rPr>
        <w:t xml:space="preserve">开标</w:t>
      </w:r>
      <w:r/>
    </w:p>
    <w:p>
      <w:pPr>
        <w:ind w:firstLine="562"/>
        <w:spacing w:line="49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5.1 </w:t>
      </w:r>
      <w:r>
        <w:rPr>
          <w:rFonts w:hint="eastAsia" w:cs="宋体" w:asciiTheme="minorEastAsia" w:hAnsiTheme="minorEastAsia" w:eastAsiaTheme="minorEastAsia"/>
          <w:b/>
          <w:sz w:val="24"/>
          <w:szCs w:val="24"/>
        </w:rPr>
        <w:t xml:space="preserve">开标时间和地点</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5.1.1</w:t>
      </w:r>
      <w:r>
        <w:rPr>
          <w:rFonts w:hint="eastAsia" w:cs="宋体" w:asciiTheme="minorEastAsia" w:hAnsiTheme="minorEastAsia" w:eastAsiaTheme="minorEastAsia"/>
          <w:sz w:val="24"/>
          <w:szCs w:val="24"/>
        </w:rPr>
        <w:t xml:space="preserve">开标时间和地点：见投标人须知前附表。</w:t>
      </w:r>
      <w:r/>
    </w:p>
    <w:p>
      <w:pPr>
        <w:ind w:firstLine="480"/>
        <w:spacing w:line="49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5.1.2</w:t>
      </w:r>
      <w:r>
        <w:rPr>
          <w:rFonts w:hint="eastAsia" w:cs="宋体" w:asciiTheme="minorEastAsia" w:hAnsiTheme="minorEastAsia" w:eastAsiaTheme="minorEastAsia"/>
          <w:sz w:val="24"/>
          <w:szCs w:val="24"/>
        </w:rPr>
        <w:t xml:space="preserve">开标活动在江苏政府采购“苏采云”系统“开标大厅”内公开进行，投标人应当按照《江苏省政府采购管理交易系统（苏采云）投标人操作手册》规定，参加开标活动。</w:t>
      </w:r>
      <w:r/>
    </w:p>
    <w:p>
      <w:pPr>
        <w:ind w:firstLine="562"/>
        <w:spacing w:line="49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5.2 不见面</w:t>
      </w:r>
      <w:r>
        <w:rPr>
          <w:rFonts w:hint="eastAsia" w:cs="宋体" w:asciiTheme="minorEastAsia" w:hAnsiTheme="minorEastAsia" w:eastAsiaTheme="minorEastAsia"/>
          <w:b/>
          <w:sz w:val="24"/>
          <w:szCs w:val="24"/>
        </w:rPr>
        <w:t xml:space="preserve">开标程序</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（1）系统登录。投标人应在投标截止时间前登录开标大厅。</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（2）投标人解密投标文件。按照系统内提示，在规定的时间内完成投标文件的解密。</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（3）唱标。</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（4）开标记录确认。</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（5）开标结束。</w:t>
      </w:r>
      <w:r/>
    </w:p>
    <w:p>
      <w:pPr>
        <w:ind w:firstLine="562"/>
        <w:spacing w:line="49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5.3特殊情况的处置</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5.3.1在投标截止时间后，开标系统出现下列情况之一时，项目未开标的，暂停开标活动；正在开标的，立即暂停开标，待系统恢复正常后再组织开标。</w:t>
      </w:r>
      <w:r/>
    </w:p>
    <w:p>
      <w:pPr>
        <w:ind w:firstLine="480"/>
        <w:spacing w:line="49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（1）系统服务器发生故障，无法访问或无法使用系统；</w:t>
      </w:r>
      <w:r/>
    </w:p>
    <w:p>
      <w:pPr>
        <w:ind w:firstLine="480"/>
        <w:spacing w:line="49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（2）系统的软件或数据库出现错误，不能进行正常操作；</w:t>
      </w:r>
      <w:r/>
    </w:p>
    <w:p>
      <w:pPr>
        <w:ind w:firstLine="480"/>
        <w:spacing w:line="49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（3）系统发现有安全漏洞，有潜在的泄密危险；</w:t>
      </w:r>
      <w:r/>
    </w:p>
    <w:p>
      <w:pPr>
        <w:ind w:firstLine="480"/>
        <w:spacing w:line="49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（4）其他无法保证招投标过程公平和信息安全的情形。</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5.3.2因投标人自身原因造成投标文件无法解密的，视为撤销投标文件。</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5.3.3投标人对开标过程和开标记录有疑义的，可向采购人或者采购代理机构提出。</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5.3.4投标人未在开标系统中确认开标结果的，视同认可开标结果。</w:t>
      </w:r>
      <w:r/>
    </w:p>
    <w:p>
      <w:pPr>
        <w:ind w:firstLine="640"/>
        <w:spacing w:line="49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6. </w:t>
      </w:r>
      <w:r>
        <w:rPr>
          <w:rFonts w:hint="eastAsia" w:asciiTheme="minorEastAsia" w:hAnsiTheme="minorEastAsia" w:eastAsiaTheme="minorEastAsia"/>
          <w:sz w:val="28"/>
          <w:szCs w:val="28"/>
        </w:rPr>
        <w:t xml:space="preserve">评标</w:t>
      </w:r>
      <w:r/>
    </w:p>
    <w:p>
      <w:pPr>
        <w:ind w:firstLine="562"/>
        <w:spacing w:line="49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6.1 </w:t>
      </w:r>
      <w:r>
        <w:rPr>
          <w:rFonts w:hint="eastAsia" w:cs="宋体" w:asciiTheme="minorEastAsia" w:hAnsiTheme="minorEastAsia" w:eastAsiaTheme="minorEastAsia"/>
          <w:b/>
          <w:sz w:val="24"/>
          <w:szCs w:val="24"/>
        </w:rPr>
        <w:t xml:space="preserve">评标委员会</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6.1.1</w:t>
      </w:r>
      <w:r>
        <w:rPr>
          <w:rFonts w:hint="eastAsia" w:cs="宋体" w:asciiTheme="minorEastAsia" w:hAnsiTheme="minorEastAsia" w:eastAsiaTheme="minorEastAsia"/>
          <w:sz w:val="24"/>
          <w:szCs w:val="24"/>
        </w:rPr>
        <w:t xml:space="preserve">评标由采购人依法组建的评标委员会负责。评标委员会由采购人代表，以及有关技术、经济等方面的专家组成。具体人数见投标人须知前附表。</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6.1.2</w:t>
      </w:r>
      <w:r>
        <w:rPr>
          <w:rFonts w:hint="eastAsia" w:cs="宋体" w:asciiTheme="minorEastAsia" w:hAnsiTheme="minorEastAsia" w:eastAsiaTheme="minorEastAsia"/>
          <w:sz w:val="24"/>
          <w:szCs w:val="24"/>
        </w:rPr>
        <w:t xml:space="preserve">评标委员会成员有下列情形之一的，应当回避：</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参加采购活动前三年内,与</w:t>
      </w:r>
      <w:r>
        <w:rPr>
          <w:rFonts w:hint="eastAsia" w:cs="宋体" w:asciiTheme="minorEastAsia" w:hAnsiTheme="minorEastAsia" w:eastAsiaTheme="minorEastAsia"/>
          <w:sz w:val="24"/>
          <w:szCs w:val="24"/>
        </w:rPr>
        <w:t xml:space="preserve">投标人</w:t>
      </w:r>
      <w:r>
        <w:rPr>
          <w:rFonts w:cs="宋体" w:asciiTheme="minorEastAsia" w:hAnsiTheme="minorEastAsia" w:eastAsiaTheme="minorEastAsia"/>
          <w:sz w:val="24"/>
          <w:szCs w:val="24"/>
        </w:rPr>
        <w:t xml:space="preserve">存在劳动关系,或者担任过</w:t>
      </w:r>
      <w:r>
        <w:rPr>
          <w:rFonts w:hint="eastAsia" w:cs="宋体" w:asciiTheme="minorEastAsia" w:hAnsiTheme="minorEastAsia" w:eastAsiaTheme="minorEastAsia"/>
          <w:sz w:val="24"/>
          <w:szCs w:val="24"/>
        </w:rPr>
        <w:t xml:space="preserve">投标人</w:t>
      </w:r>
      <w:r>
        <w:rPr>
          <w:rFonts w:cs="宋体" w:asciiTheme="minorEastAsia" w:hAnsiTheme="minorEastAsia" w:eastAsiaTheme="minorEastAsia"/>
          <w:sz w:val="24"/>
          <w:szCs w:val="24"/>
        </w:rPr>
        <w:t xml:space="preserve">的董事、监事,或者是</w:t>
      </w:r>
      <w:r>
        <w:rPr>
          <w:rFonts w:hint="eastAsia" w:cs="宋体" w:asciiTheme="minorEastAsia" w:hAnsiTheme="minorEastAsia" w:eastAsiaTheme="minorEastAsia"/>
          <w:sz w:val="24"/>
          <w:szCs w:val="24"/>
        </w:rPr>
        <w:t xml:space="preserve">投标人</w:t>
      </w:r>
      <w:r>
        <w:rPr>
          <w:rFonts w:cs="宋体" w:asciiTheme="minorEastAsia" w:hAnsiTheme="minorEastAsia" w:eastAsiaTheme="minorEastAsia"/>
          <w:sz w:val="24"/>
          <w:szCs w:val="24"/>
        </w:rPr>
        <w:t xml:space="preserve">的控股股东或实际控制人</w:t>
      </w:r>
      <w:r>
        <w:rPr>
          <w:rFonts w:hint="eastAsia" w:cs="宋体" w:asciiTheme="minorEastAsia" w:hAnsiTheme="minorEastAsia" w:eastAsiaTheme="minorEastAsia"/>
          <w:sz w:val="24"/>
          <w:szCs w:val="24"/>
        </w:rPr>
        <w:t xml:space="preserve">；</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与</w:t>
      </w:r>
      <w:r>
        <w:rPr>
          <w:rFonts w:hint="eastAsia" w:cs="宋体" w:asciiTheme="minorEastAsia" w:hAnsiTheme="minorEastAsia" w:eastAsiaTheme="minorEastAsia"/>
          <w:sz w:val="24"/>
          <w:szCs w:val="24"/>
        </w:rPr>
        <w:t xml:space="preserve">投标人</w:t>
      </w:r>
      <w:r>
        <w:rPr>
          <w:rFonts w:cs="宋体" w:asciiTheme="minorEastAsia" w:hAnsiTheme="minorEastAsia" w:eastAsiaTheme="minorEastAsia"/>
          <w:sz w:val="24"/>
          <w:szCs w:val="24"/>
        </w:rPr>
        <w:t xml:space="preserve">的法定代表人或者负责人有夫妻、直系血亲、三代以内旁系血亲或者近姻亲关系</w:t>
      </w:r>
      <w:r>
        <w:rPr>
          <w:rFonts w:hint="eastAsia" w:cs="宋体" w:asciiTheme="minorEastAsia" w:hAnsiTheme="minorEastAsia" w:eastAsiaTheme="minorEastAsia"/>
          <w:sz w:val="24"/>
          <w:szCs w:val="24"/>
        </w:rPr>
        <w:t xml:space="preserve">；</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与</w:t>
      </w:r>
      <w:r>
        <w:rPr>
          <w:rFonts w:hint="eastAsia" w:cs="宋体" w:asciiTheme="minorEastAsia" w:hAnsiTheme="minorEastAsia" w:eastAsiaTheme="minorEastAsia"/>
          <w:sz w:val="24"/>
          <w:szCs w:val="24"/>
        </w:rPr>
        <w:t xml:space="preserve">投标人</w:t>
      </w:r>
      <w:r>
        <w:rPr>
          <w:rFonts w:cs="宋体" w:asciiTheme="minorEastAsia" w:hAnsiTheme="minorEastAsia" w:eastAsiaTheme="minorEastAsia"/>
          <w:sz w:val="24"/>
          <w:szCs w:val="24"/>
        </w:rPr>
        <w:t xml:space="preserve">有其他可能影响政府采购活动公平、公正进行的关系</w:t>
      </w:r>
      <w:r>
        <w:rPr>
          <w:rFonts w:hint="eastAsia" w:cs="宋体" w:asciiTheme="minorEastAsia" w:hAnsiTheme="minorEastAsia" w:eastAsiaTheme="minorEastAsia"/>
          <w:sz w:val="24"/>
          <w:szCs w:val="24"/>
        </w:rPr>
        <w:t xml:space="preserve">；</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）法律、行政法规规定的其他条件。</w:t>
      </w:r>
      <w:r/>
    </w:p>
    <w:p>
      <w:pPr>
        <w:ind w:firstLine="562"/>
        <w:spacing w:line="49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6.2 </w:t>
      </w:r>
      <w:r>
        <w:rPr>
          <w:rFonts w:hint="eastAsia" w:cs="宋体" w:asciiTheme="minorEastAsia" w:hAnsiTheme="minorEastAsia" w:eastAsiaTheme="minorEastAsia"/>
          <w:b/>
          <w:sz w:val="24"/>
          <w:szCs w:val="24"/>
        </w:rPr>
        <w:t xml:space="preserve">评标</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2"/>
        </w:rPr>
        <w:t xml:space="preserve">评标活动遵循公正、客观、审慎的原则。</w:t>
      </w:r>
      <w:r>
        <w:rPr>
          <w:rFonts w:hint="eastAsia" w:cs="宋体" w:asciiTheme="minorEastAsia" w:hAnsiTheme="minorEastAsia" w:eastAsiaTheme="minorEastAsia"/>
          <w:sz w:val="24"/>
          <w:szCs w:val="24"/>
        </w:rPr>
        <w:t xml:space="preserve">评标委员会严格按照第三章</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评标办法</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规定的评标方法、评标程序和评标标准进行独立评审。第三章</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评标办法</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没有规定的评标标准，不得作为评标依据。</w:t>
      </w:r>
      <w:r/>
    </w:p>
    <w:p>
      <w:pPr>
        <w:ind w:firstLine="640"/>
        <w:spacing w:line="49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7.</w:t>
      </w:r>
      <w:r>
        <w:rPr>
          <w:rFonts w:hint="eastAsia" w:cs="宋体" w:asciiTheme="minorEastAsia" w:hAnsiTheme="minorEastAsia" w:eastAsiaTheme="minorEastAsia"/>
          <w:sz w:val="28"/>
          <w:szCs w:val="28"/>
        </w:rPr>
        <w:t xml:space="preserve">中标</w:t>
      </w:r>
      <w:r/>
    </w:p>
    <w:p>
      <w:pPr>
        <w:ind w:firstLine="562"/>
        <w:spacing w:line="49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7.1</w:t>
      </w:r>
      <w:r>
        <w:rPr>
          <w:rFonts w:hint="eastAsia" w:asciiTheme="minorEastAsia" w:hAnsiTheme="minorEastAsia" w:eastAsiaTheme="minorEastAsia"/>
          <w:b/>
          <w:sz w:val="24"/>
          <w:szCs w:val="24"/>
        </w:rPr>
        <w:t xml:space="preserve">确定中标人</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7.1.1自收到评标报告之日起５个工作日内，在评标报告确定的中标候选人名单中按顺序确定中标人。</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7.1.2排名第一的中标候选人出现下列情形之一的，除合格投标人的数量不符合法定的要求外，采购人将按照评标委员会提出的中标候选人名单排序依次确定其他中标候选人为中标人。</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）因不可抗力或者自身原因不能履行合同的；</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）经过财政部门处理投诉举报、监督检查，认定中标无效的；</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）拒绝与采购人签订合同的。</w:t>
      </w:r>
      <w:r/>
    </w:p>
    <w:p>
      <w:pPr>
        <w:ind w:firstLine="562"/>
        <w:spacing w:line="49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7.2</w:t>
      </w:r>
      <w:r>
        <w:rPr>
          <w:rFonts w:hint="eastAsia" w:asciiTheme="minorEastAsia" w:hAnsiTheme="minorEastAsia" w:eastAsiaTheme="minorEastAsia"/>
          <w:b/>
          <w:sz w:val="24"/>
          <w:szCs w:val="24"/>
        </w:rPr>
        <w:t xml:space="preserve">中标公告及中标通知书</w:t>
      </w:r>
      <w:r/>
    </w:p>
    <w:p>
      <w:pPr>
        <w:ind w:firstLine="480"/>
        <w:spacing w:line="49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7.2.1自中标人确定之日起2个工作日内，在投标人须知前附表规定的媒介上公告中标结果，公告期限为1个工作日。</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7.2.2在公告中标结果的同时，向中标人发出中标通知书。中标通知书对采购人和中标人具有同等法律效力。</w:t>
      </w:r>
      <w:r/>
    </w:p>
    <w:p>
      <w:pPr>
        <w:ind w:firstLine="640"/>
        <w:spacing w:line="49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8.</w:t>
      </w:r>
      <w:r>
        <w:rPr>
          <w:rFonts w:hint="eastAsia" w:cs="宋体" w:asciiTheme="minorEastAsia" w:hAnsiTheme="minorEastAsia" w:eastAsiaTheme="minorEastAsia"/>
          <w:sz w:val="28"/>
          <w:szCs w:val="28"/>
        </w:rPr>
        <w:t xml:space="preserve">合同</w:t>
      </w:r>
      <w:r/>
    </w:p>
    <w:p>
      <w:pPr>
        <w:ind w:firstLine="562"/>
        <w:spacing w:line="490" w:lineRule="exact"/>
        <w:rPr>
          <w:rFonts w:cs="宋体" w:asciiTheme="minorEastAsia" w:hAnsiTheme="minorEastAsia" w:eastAsiaTheme="minorEastAsia"/>
          <w:b/>
          <w:sz w:val="24"/>
          <w:szCs w:val="24"/>
        </w:rPr>
      </w:pPr>
      <w:r>
        <w:rPr>
          <w:rFonts w:asciiTheme="minorEastAsia" w:hAnsiTheme="minorEastAsia" w:eastAsiaTheme="minorEastAsia"/>
          <w:b/>
          <w:sz w:val="24"/>
          <w:szCs w:val="24"/>
        </w:rPr>
        <w:t xml:space="preserve">8.1 </w:t>
      </w:r>
      <w:r>
        <w:rPr>
          <w:rFonts w:hint="eastAsia" w:cs="宋体" w:asciiTheme="minorEastAsia" w:hAnsiTheme="minorEastAsia" w:eastAsiaTheme="minorEastAsia"/>
          <w:b/>
          <w:sz w:val="24"/>
          <w:szCs w:val="24"/>
        </w:rPr>
        <w:t xml:space="preserve">履约保证金</w:t>
      </w:r>
      <w:r/>
    </w:p>
    <w:p>
      <w:pPr>
        <w:ind w:firstLine="480"/>
        <w:spacing w:line="49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8.1.1</w:t>
      </w:r>
      <w:r>
        <w:rPr>
          <w:rFonts w:hint="eastAsia" w:cs="宋体" w:asciiTheme="minorEastAsia" w:hAnsiTheme="minorEastAsia" w:eastAsiaTheme="minorEastAsia"/>
          <w:sz w:val="24"/>
          <w:szCs w:val="24"/>
        </w:rPr>
        <w:t xml:space="preserve">中标人应按投标人须知前附表规定的履约保证金的形式、金额和提交时间向采购人提交履约保证金。</w:t>
      </w:r>
      <w:r/>
    </w:p>
    <w:p>
      <w:pPr>
        <w:ind w:firstLine="480"/>
        <w:spacing w:line="490" w:lineRule="exact"/>
        <w:rPr>
          <w:rFonts w:cs="宋体" w:asciiTheme="minorEastAsia" w:hAnsiTheme="minorEastAsia" w:eastAsiaTheme="minorEastAsia"/>
          <w:sz w:val="24"/>
          <w:szCs w:val="24"/>
        </w:rPr>
      </w:pPr>
      <w:r>
        <w:rPr>
          <w:rFonts w:asciiTheme="minorEastAsia" w:hAnsiTheme="minorEastAsia" w:eastAsiaTheme="minorEastAsia"/>
          <w:sz w:val="24"/>
          <w:szCs w:val="24"/>
        </w:rPr>
        <w:t xml:space="preserve">8.1.2</w:t>
      </w:r>
      <w:r>
        <w:rPr>
          <w:rFonts w:hint="eastAsia" w:cs="宋体" w:asciiTheme="minorEastAsia" w:hAnsiTheme="minorEastAsia" w:eastAsiaTheme="minorEastAsia"/>
          <w:sz w:val="24"/>
          <w:szCs w:val="24"/>
        </w:rPr>
        <w:t xml:space="preserve">中标人不能按本招标文件要求提交履约保证金的，视为放弃中标，给采购人造成损失的，中标人还应当予以赔偿。</w:t>
      </w:r>
      <w:r/>
    </w:p>
    <w:p>
      <w:pPr>
        <w:ind w:firstLine="480"/>
        <w:spacing w:line="490" w:lineRule="exact"/>
        <w:rPr>
          <w:rFonts w:cs="宋体" w:asciiTheme="minorEastAsia" w:hAnsiTheme="minorEastAsia" w:eastAsiaTheme="minorEastAsia"/>
          <w:sz w:val="24"/>
          <w:szCs w:val="24"/>
        </w:rPr>
      </w:pPr>
      <w:r>
        <w:rPr>
          <w:rFonts w:asciiTheme="minorEastAsia" w:hAnsiTheme="minorEastAsia" w:eastAsiaTheme="minorEastAsia"/>
          <w:sz w:val="24"/>
          <w:szCs w:val="24"/>
        </w:rPr>
        <w:t xml:space="preserve">8.1.</w:t>
      </w:r>
      <w:r>
        <w:rPr>
          <w:rFonts w:hint="eastAsia" w:asciiTheme="minorEastAsia" w:hAnsiTheme="minorEastAsia" w:eastAsiaTheme="minorEastAsia"/>
          <w:sz w:val="24"/>
          <w:szCs w:val="24"/>
        </w:rPr>
        <w:t xml:space="preserve">3中标单位应在收到中标通知书10日历天内完成合同签订，未按要求签订合同的按放弃中标处理。采购人将按照评标委员会提出的中标候选人名单排序依次确定其他中标候选人为中标人。</w:t>
      </w:r>
      <w:r/>
    </w:p>
    <w:p>
      <w:pPr>
        <w:ind w:firstLine="562"/>
        <w:spacing w:line="49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8.2</w:t>
      </w:r>
      <w:r>
        <w:rPr>
          <w:rFonts w:hint="eastAsia" w:cs="宋体" w:asciiTheme="minorEastAsia" w:hAnsiTheme="minorEastAsia" w:eastAsiaTheme="minorEastAsia"/>
          <w:b/>
          <w:sz w:val="24"/>
          <w:szCs w:val="24"/>
        </w:rPr>
        <w:t xml:space="preserve">签订合同</w:t>
      </w:r>
      <w:r/>
    </w:p>
    <w:p>
      <w:pPr>
        <w:ind w:firstLine="480"/>
        <w:spacing w:line="49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采购人和中标人在投标人须知前附表规定的时间内，根据招标文件和中标人的投标文件订立书面合同。中标人无正当理由拒签合同的，采购人取消其中标资格；给采购人造成损失的，中标人还应当对予以赔偿。</w:t>
      </w:r>
      <w:r/>
    </w:p>
    <w:p>
      <w:pPr>
        <w:ind w:firstLine="562"/>
        <w:spacing w:line="49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9、需要补充的其他内容</w:t>
      </w:r>
      <w:r/>
    </w:p>
    <w:p>
      <w:pPr>
        <w:ind w:firstLine="562"/>
        <w:spacing w:line="49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9.1质疑</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9.1.1供应商对招标活动事项有疑问的，可以向采购代理机构提出询问，采购代理机构将依法作出答复，但答复的内容不涉及商业秘密。</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9.1.2提出质疑的供应商应当是参与所质疑项目采购活动的供应商。潜在供应商已依法获取其可质疑的采购文件的，可以对该文件提出质疑。</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以联合体形式参加政府采购活动的，其质疑应当由组成联合体的所有供应商共同提出。</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9.1.3供应商认为采购文件、采购过程和中标结果使自己的合法权益受到损害的，可以在知道或者应知其权益受到损害之日起七个工作日内，将质疑文件原件送达采购人或采购代理机构。</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供应商必须在法定质疑期内一次性提出针对同一采购程序环节的质疑。</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9.1.4供应商提出质疑应当提交质疑函和必要的证明材料。质疑函应当包括下列内容：</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（一）供应商的姓名或者名称、地址、邮编、联系人及联系电话；</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（二）质疑项目的名称、编号；</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（三）具体、明确的质疑事项和与质疑事项相关的请求（具体条款）；</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（四）事实依据（具体条款）；</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（五）必要的法律依据（具体条款）；</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（六）提出质疑的日期。</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质疑函应当使用中文。相关当事人提供外文书证或者外国语视听资料的，应当附有中文译本，由翻译机构盖章或者翻译人员签名。</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9.1.5质疑函应当现场提交至采购代理机构联系人处，提交时应出示有效身份证明。未按上述要求提交质疑函的，质疑不予受理。</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9.1.6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9.1.7采购代理机构在收到投标人的书面质疑后将及时组织调查核实，在七个工作日内作出答复，并以书面或在网站公告形式通知质疑投标人和其他有关投标人，答复的内容不涉及商业秘密。</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任何单位和个人对代理机构在招标采购活动中的违法行为，有权控告和检举。</w:t>
      </w:r>
      <w:r/>
    </w:p>
    <w:p>
      <w:pPr>
        <w:ind w:firstLine="562"/>
        <w:spacing w:line="49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9.2投诉</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9.2.1质疑供应商对采购代理机构的答复不满意或者采购代理机构未在规定的时间内作出答复的，可以在答复期满后十五个工作日内向同级政府采购监督管理部门投诉。</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9.2.2供应商投诉应当有明确的请求和必要的证明材料。供应商投诉的事项不得超出已质疑事项的范围。</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9.2.3投诉人对政府采购监督管理部门的投诉处理决定不服或者政府采购监督管理部门逾期未作处理的，可以依法申请行政复议或者向人民法院提起行政诉讼。</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9.2.4投诉人有下列行为之一的，属于严重失信行为，由财政部门列入不良行为记录名单，禁止其一至三年内参加政府采购活动。</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（1）投诉人在全国范围12个月内三次以上投诉查无实据的；</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（2）采用捏造事实、提供虚假材料或者以非法手段取得证明材料等方式进行虚假、恶意投诉。</w:t>
      </w:r>
      <w:r/>
    </w:p>
    <w:p>
      <w:pPr>
        <w:ind w:firstLine="560"/>
        <w:jc w:val="left"/>
        <w:spacing w:line="49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证据来源的合法性存在明显疑问，投诉人无法证明其取得方式合法的，视为以非法手段取得证明材料。</w:t>
      </w:r>
      <w:r/>
    </w:p>
    <w:p>
      <w:pPr>
        <w:ind w:firstLine="562"/>
        <w:spacing w:line="49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9.3需要补充的其他内容：见投标人须知前附表。</w:t>
      </w:r>
      <w:r/>
    </w:p>
    <w:p>
      <w:pPr>
        <w:jc w:val="left"/>
        <w:widowControl/>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left="646"/>
        <w:jc w:val="center"/>
        <w:spacing w:line="520" w:lineRule="exact"/>
        <w:tabs>
          <w:tab w:val="left" w:pos="3240" w:leader="none"/>
        </w:tabs>
        <w:rPr>
          <w:rFonts w:asciiTheme="minorEastAsia" w:hAnsiTheme="minorEastAsia" w:eastAsiaTheme="minorEastAsia"/>
          <w:b/>
          <w:sz w:val="32"/>
          <w:szCs w:val="32"/>
        </w:rPr>
        <w:outlineLvl w:val="0"/>
      </w:pPr>
      <w:r>
        <w:rPr>
          <w:rFonts w:hint="eastAsia" w:asciiTheme="minorEastAsia" w:hAnsiTheme="minorEastAsia" w:eastAsiaTheme="minorEastAsia"/>
          <w:b/>
          <w:sz w:val="32"/>
          <w:szCs w:val="32"/>
        </w:rPr>
        <w:t xml:space="preserve">第三章 资格审查及评标办法</w:t>
      </w:r>
      <w:bookmarkEnd w:id="2"/>
      <w:r/>
      <w:bookmarkEnd w:id="3"/>
      <w:r/>
      <w:bookmarkEnd w:id="4"/>
      <w:r/>
      <w:bookmarkEnd w:id="5"/>
      <w:r/>
      <w:bookmarkEnd w:id="6"/>
      <w:r/>
      <w:bookmarkEnd w:id="7"/>
      <w:r/>
      <w:bookmarkEnd w:id="8"/>
      <w:r/>
      <w:bookmarkEnd w:id="9"/>
      <w:r/>
      <w:bookmarkEnd w:id="10"/>
      <w:r/>
      <w:r/>
    </w:p>
    <w:p>
      <w:pPr>
        <w:ind w:firstLine="422"/>
        <w:jc w:val="left"/>
        <w:spacing w:line="360" w:lineRule="auto"/>
        <w:rPr>
          <w:rFonts w:asciiTheme="minorEastAsia" w:hAnsiTheme="minorEastAsia" w:eastAsiaTheme="minorEastAsia"/>
          <w:b/>
        </w:rPr>
      </w:pPr>
      <w:r>
        <w:rPr>
          <w:rFonts w:hint="eastAsia" w:asciiTheme="minorEastAsia" w:hAnsiTheme="minorEastAsia" w:eastAsiaTheme="minorEastAsia"/>
          <w:b/>
        </w:rPr>
        <w:t xml:space="preserve">资格审查和评标办法前附表</w:t>
      </w:r>
      <w:r/>
    </w:p>
    <w:tbl>
      <w:tblPr>
        <w:tblStyle w:val="834"/>
        <w:tblW w:w="8469"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75"/>
        <w:gridCol w:w="1179"/>
        <w:gridCol w:w="2213"/>
        <w:gridCol w:w="4402"/>
      </w:tblGrid>
      <w:tr>
        <w:trPr>
          <w:trHeight w:val="484"/>
        </w:trPr>
        <w:tc>
          <w:tcPr>
            <w:gridSpan w:val="2"/>
            <w:tcBorders>
              <w:top w:val="single" w:color="auto" w:sz="6" w:space="0"/>
              <w:left w:val="single" w:color="auto" w:sz="6" w:space="0"/>
              <w:bottom w:val="single" w:color="auto" w:sz="6" w:space="0"/>
              <w:right w:val="single" w:color="auto" w:sz="6" w:space="0"/>
            </w:tcBorders>
            <w:tcW w:w="1854" w:type="dxa"/>
            <w:vAlign w:val="center"/>
            <w:textDirection w:val="lrTb"/>
            <w:noWrap w:val="false"/>
          </w:tcPr>
          <w:p>
            <w:pPr>
              <w:spacing w:line="4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条款号</w:t>
            </w:r>
            <w:r/>
          </w:p>
        </w:tc>
        <w:tc>
          <w:tcPr>
            <w:tcBorders>
              <w:top w:val="single" w:color="auto" w:sz="6" w:space="0"/>
              <w:left w:val="single" w:color="auto" w:sz="6" w:space="0"/>
              <w:bottom w:val="single" w:color="auto" w:sz="6" w:space="0"/>
              <w:right w:val="single" w:color="auto" w:sz="6" w:space="0"/>
            </w:tcBorders>
            <w:tcW w:w="2213" w:type="dxa"/>
            <w:vAlign w:val="center"/>
            <w:textDirection w:val="lrTb"/>
            <w:noWrap w:val="false"/>
          </w:tcPr>
          <w:p>
            <w:pPr>
              <w:ind w:firstLine="480"/>
              <w:spacing w:line="4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评审因素</w:t>
            </w:r>
            <w:r/>
          </w:p>
        </w:tc>
        <w:tc>
          <w:tcPr>
            <w:tcBorders>
              <w:top w:val="single" w:color="auto" w:sz="6" w:space="0"/>
              <w:left w:val="single" w:color="auto" w:sz="6" w:space="0"/>
              <w:bottom w:val="single" w:color="auto" w:sz="6" w:space="0"/>
              <w:right w:val="single" w:color="auto" w:sz="6" w:space="0"/>
            </w:tcBorders>
            <w:tcW w:w="4402" w:type="dxa"/>
            <w:vAlign w:val="center"/>
            <w:textDirection w:val="lrTb"/>
            <w:noWrap w:val="false"/>
          </w:tcPr>
          <w:p>
            <w:pPr>
              <w:ind w:firstLine="480"/>
              <w:spacing w:line="4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评审标准</w:t>
            </w:r>
            <w:r/>
          </w:p>
        </w:tc>
      </w:tr>
      <w:tr>
        <w:trPr>
          <w:trHeight w:val="630"/>
        </w:trPr>
        <w:tc>
          <w:tcPr>
            <w:tcBorders>
              <w:top w:val="single" w:color="auto" w:sz="6" w:space="0"/>
              <w:left w:val="single" w:color="auto" w:sz="6" w:space="0"/>
              <w:right w:val="single" w:color="auto" w:sz="6" w:space="0"/>
            </w:tcBorders>
            <w:tcW w:w="675" w:type="dxa"/>
            <w:vAlign w:val="center"/>
            <w:vMerge w:val="restart"/>
            <w:textDirection w:val="lrTb"/>
            <w:noWrap w:val="false"/>
          </w:tcPr>
          <w:p>
            <w:pPr>
              <w:spacing w:line="360" w:lineRule="exact"/>
              <w:rPr>
                <w:rFonts w:hint="eastAsia" w:asciiTheme="minorEastAsia" w:hAnsiTheme="minorEastAsia" w:eastAsiaTheme="minorEastAsia" w:cstheme="minorEastAsia"/>
                <w:spacing w:val="-40"/>
                <w:sz w:val="22"/>
                <w:szCs w:val="22"/>
              </w:rPr>
            </w:pPr>
            <w:r>
              <w:rPr>
                <w:rFonts w:hint="eastAsia" w:asciiTheme="minorEastAsia" w:hAnsiTheme="minorEastAsia" w:eastAsiaTheme="minorEastAsia" w:cstheme="minorEastAsia"/>
                <w:spacing w:val="-14"/>
                <w:sz w:val="22"/>
                <w:szCs w:val="22"/>
              </w:rPr>
              <w:t xml:space="preserve">1.2</w:t>
            </w:r>
            <w:r/>
          </w:p>
        </w:tc>
        <w:tc>
          <w:tcPr>
            <w:tcBorders>
              <w:top w:val="single" w:color="auto" w:sz="6" w:space="0"/>
              <w:left w:val="single" w:color="auto" w:sz="6" w:space="0"/>
              <w:right w:val="single" w:color="auto" w:sz="6" w:space="0"/>
            </w:tcBorders>
            <w:tcW w:w="1179" w:type="dxa"/>
            <w:vAlign w:val="center"/>
            <w:vMerge w:val="restart"/>
            <w:textDirection w:val="lrTb"/>
            <w:noWrap w:val="false"/>
          </w:tcPr>
          <w:p>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资格审查</w:t>
            </w:r>
            <w:r/>
          </w:p>
        </w:tc>
        <w:tc>
          <w:tcPr>
            <w:tcBorders>
              <w:top w:val="single" w:color="auto" w:sz="6" w:space="0"/>
              <w:left w:val="single" w:color="auto" w:sz="6" w:space="0"/>
              <w:bottom w:val="single" w:color="auto" w:sz="6" w:space="0"/>
              <w:right w:val="single" w:color="auto" w:sz="6" w:space="0"/>
            </w:tcBorders>
            <w:tcW w:w="2213" w:type="dxa"/>
            <w:vAlign w:val="center"/>
            <w:textDirection w:val="lrTb"/>
            <w:noWrap w:val="false"/>
          </w:tcPr>
          <w:p>
            <w:pPr>
              <w:spacing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基本资格条件的承诺</w:t>
            </w:r>
            <w:r/>
          </w:p>
        </w:tc>
        <w:tc>
          <w:tcPr>
            <w:tcBorders>
              <w:top w:val="single" w:color="auto" w:sz="6" w:space="0"/>
              <w:left w:val="single" w:color="auto" w:sz="6" w:space="0"/>
              <w:bottom w:val="single" w:color="auto" w:sz="6" w:space="0"/>
              <w:right w:val="single" w:color="auto" w:sz="6" w:space="0"/>
            </w:tcBorders>
            <w:tcW w:w="4402" w:type="dxa"/>
            <w:vAlign w:val="center"/>
            <w:textDirection w:val="lrTb"/>
            <w:noWrap w:val="false"/>
          </w:tcPr>
          <w:p>
            <w:pPr>
              <w:spacing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根据投标人提供的承诺函，内容完整且具有投标人公章及法定代表人的印章。（内容及格式参照第六章）</w:t>
            </w:r>
            <w:r/>
          </w:p>
        </w:tc>
      </w:tr>
      <w:tr>
        <w:trPr>
          <w:trHeight w:val="587"/>
        </w:trPr>
        <w:tc>
          <w:tcPr>
            <w:tcBorders>
              <w:left w:val="single" w:color="auto" w:sz="6" w:space="0"/>
              <w:right w:val="single" w:color="auto" w:sz="6" w:space="0"/>
            </w:tcBorders>
            <w:tcW w:w="675" w:type="dxa"/>
            <w:vAlign w:val="center"/>
            <w:vMerge w:val="continue"/>
            <w:textDirection w:val="lrTb"/>
            <w:noWrap w:val="false"/>
          </w:tcPr>
          <w:p>
            <w:pPr>
              <w:ind w:firstLine="48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Borders>
              <w:left w:val="single" w:color="auto" w:sz="6" w:space="0"/>
              <w:right w:val="single" w:color="auto" w:sz="6" w:space="0"/>
            </w:tcBorders>
            <w:tcW w:w="1179" w:type="dxa"/>
            <w:vAlign w:val="center"/>
            <w:vMerge w:val="continue"/>
            <w:textDirection w:val="lrTb"/>
            <w:noWrap w:val="false"/>
          </w:tcPr>
          <w:p>
            <w:pPr>
              <w:ind w:firstLine="48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Borders>
              <w:top w:val="single" w:color="auto" w:sz="6" w:space="0"/>
              <w:left w:val="single" w:color="auto" w:sz="6" w:space="0"/>
              <w:bottom w:val="single" w:color="auto" w:sz="6" w:space="0"/>
              <w:right w:val="single" w:color="auto" w:sz="6" w:space="0"/>
            </w:tcBorders>
            <w:tcW w:w="2213" w:type="dxa"/>
            <w:vAlign w:val="center"/>
            <w:textDirection w:val="lrTb"/>
            <w:noWrap w:val="false"/>
          </w:tcPr>
          <w:p>
            <w:pPr>
              <w:spacing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采购人根据本项目特点，要求投标人具备的条件</w:t>
            </w:r>
            <w:r/>
          </w:p>
        </w:tc>
        <w:tc>
          <w:tcPr>
            <w:tcBorders>
              <w:top w:val="single" w:color="auto" w:sz="6" w:space="0"/>
              <w:left w:val="single" w:color="auto" w:sz="6" w:space="0"/>
              <w:bottom w:val="single" w:color="auto" w:sz="6" w:space="0"/>
              <w:right w:val="single" w:color="auto" w:sz="6" w:space="0"/>
            </w:tcBorders>
            <w:tcW w:w="4402" w:type="dxa"/>
            <w:vAlign w:val="center"/>
            <w:textDirection w:val="lrTb"/>
            <w:noWrap w:val="false"/>
          </w:tcPr>
          <w:p>
            <w:pPr>
              <w:spacing w:line="38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1.落实政府采购政策需满足的资格要求：本项目为非专门面向中小企业的项目。</w:t>
            </w:r>
            <w:r/>
          </w:p>
          <w:p>
            <w:pPr>
              <w:spacing w:line="38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2.本项目的特定资格要求：详见采购公告。</w:t>
            </w:r>
            <w:r/>
          </w:p>
        </w:tc>
      </w:tr>
      <w:tr>
        <w:trPr>
          <w:trHeight w:val="308"/>
        </w:trPr>
        <w:tc>
          <w:tcPr>
            <w:gridSpan w:val="4"/>
            <w:tcBorders>
              <w:top w:val="single" w:color="auto" w:sz="6" w:space="0"/>
              <w:left w:val="single" w:color="auto" w:sz="6" w:space="0"/>
              <w:bottom w:val="single" w:color="auto" w:sz="6" w:space="0"/>
              <w:right w:val="single" w:color="auto" w:sz="6" w:space="0"/>
            </w:tcBorders>
            <w:tcW w:w="8469" w:type="dxa"/>
            <w:vAlign w:val="center"/>
            <w:textDirection w:val="lrTb"/>
            <w:noWrap w:val="false"/>
          </w:tcPr>
          <w:p>
            <w:pPr>
              <w:jc w:val="both"/>
              <w:spacing w:line="460" w:lineRule="exact"/>
              <w:rPr>
                <w:rFonts w:hint="eastAsia" w:asciiTheme="minorEastAsia" w:hAnsiTheme="minorEastAsia" w:eastAsiaTheme="minorEastAsia" w:cstheme="minorEastAsia"/>
                <w:b/>
                <w:spacing w:val="-14"/>
                <w:sz w:val="22"/>
                <w:szCs w:val="22"/>
              </w:rPr>
            </w:pPr>
            <w:r>
              <w:rPr>
                <w:rFonts w:hint="eastAsia" w:asciiTheme="minorEastAsia" w:hAnsiTheme="minorEastAsia" w:eastAsiaTheme="minorEastAsia" w:cstheme="minorEastAsia"/>
                <w:b/>
                <w:spacing w:val="-14"/>
                <w:sz w:val="22"/>
                <w:szCs w:val="22"/>
              </w:rPr>
              <w:t xml:space="preserve">1.2项评审内容由采购人负责，投标文件不符合1.2项评审标准的，作无效标处理。</w:t>
            </w:r>
            <w:r/>
          </w:p>
        </w:tc>
      </w:tr>
      <w:tr>
        <w:trPr>
          <w:trHeight w:val="460"/>
        </w:trPr>
        <w:tc>
          <w:tcPr>
            <w:tcBorders>
              <w:top w:val="single" w:color="auto" w:sz="6" w:space="0"/>
              <w:left w:val="single" w:color="auto" w:sz="6" w:space="0"/>
              <w:bottom w:val="single" w:color="auto" w:sz="6" w:space="0"/>
              <w:right w:val="single" w:color="auto" w:sz="6" w:space="0"/>
            </w:tcBorders>
            <w:tcW w:w="675" w:type="dxa"/>
            <w:vAlign w:val="center"/>
            <w:vMerge w:val="restart"/>
            <w:textDirection w:val="lrTb"/>
            <w:noWrap w:val="false"/>
          </w:tcPr>
          <w:p>
            <w:pPr>
              <w:spacing w:line="360" w:lineRule="exact"/>
              <w:rPr>
                <w:rFonts w:hint="eastAsia" w:asciiTheme="minorEastAsia" w:hAnsiTheme="minorEastAsia" w:eastAsiaTheme="minorEastAsia" w:cstheme="minorEastAsia"/>
                <w:sz w:val="22"/>
                <w:szCs w:val="22"/>
              </w:rPr>
            </w:pPr>
            <w:r/>
            <w:bookmarkStart w:id="176" w:name="_Hlk215652041"/>
            <w:r>
              <w:rPr>
                <w:rFonts w:hint="eastAsia" w:asciiTheme="minorEastAsia" w:hAnsiTheme="minorEastAsia" w:eastAsiaTheme="minorEastAsia" w:cstheme="minorEastAsia"/>
                <w:spacing w:val="-14"/>
                <w:sz w:val="22"/>
                <w:szCs w:val="22"/>
              </w:rPr>
              <w:t xml:space="preserve">2.2.2</w:t>
            </w:r>
            <w:r/>
          </w:p>
        </w:tc>
        <w:tc>
          <w:tcPr>
            <w:tcBorders>
              <w:top w:val="single" w:color="auto" w:sz="6" w:space="0"/>
              <w:left w:val="single" w:color="auto" w:sz="6" w:space="0"/>
              <w:bottom w:val="single" w:color="auto" w:sz="6" w:space="0"/>
              <w:right w:val="single" w:color="auto" w:sz="6" w:space="0"/>
            </w:tcBorders>
            <w:tcW w:w="1179" w:type="dxa"/>
            <w:vAlign w:val="center"/>
            <w:vMerge w:val="restart"/>
            <w:textDirection w:val="lrTb"/>
            <w:noWrap w:val="false"/>
          </w:tcPr>
          <w:p>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符合性评审</w:t>
            </w:r>
            <w:r/>
          </w:p>
        </w:tc>
        <w:tc>
          <w:tcPr>
            <w:tcBorders>
              <w:top w:val="single" w:color="auto" w:sz="6" w:space="0"/>
              <w:left w:val="single" w:color="auto" w:sz="6" w:space="0"/>
              <w:bottom w:val="single" w:color="auto" w:sz="6" w:space="0"/>
              <w:right w:val="single" w:color="auto" w:sz="6" w:space="0"/>
            </w:tcBorders>
            <w:tcW w:w="2213" w:type="dxa"/>
            <w:vAlign w:val="center"/>
            <w:textDirection w:val="lrTb"/>
            <w:noWrap w:val="false"/>
          </w:tcPr>
          <w:p>
            <w:pPr>
              <w:jc w:val="left"/>
              <w:spacing w:line="38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投标文件的签署</w:t>
            </w:r>
            <w:r/>
          </w:p>
        </w:tc>
        <w:tc>
          <w:tcPr>
            <w:tcBorders>
              <w:top w:val="single" w:color="auto" w:sz="6" w:space="0"/>
              <w:left w:val="single" w:color="auto" w:sz="6" w:space="0"/>
              <w:bottom w:val="single" w:color="auto" w:sz="6" w:space="0"/>
              <w:right w:val="single" w:color="auto" w:sz="6" w:space="0"/>
            </w:tcBorders>
            <w:tcW w:w="4402" w:type="dxa"/>
            <w:vAlign w:val="center"/>
            <w:textDirection w:val="lrTb"/>
            <w:noWrap w:val="false"/>
          </w:tcPr>
          <w:p>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符合第二章第3.4.4项规定</w:t>
            </w:r>
            <w:bookmarkEnd w:id="176"/>
            <w:r/>
            <w:r/>
          </w:p>
        </w:tc>
      </w:tr>
      <w:tr>
        <w:trPr>
          <w:trHeight w:val="460"/>
        </w:trPr>
        <w:tc>
          <w:tcPr>
            <w:tcBorders>
              <w:top w:val="single" w:color="auto" w:sz="6" w:space="0"/>
              <w:left w:val="single" w:color="auto" w:sz="6" w:space="0"/>
              <w:bottom w:val="single" w:color="auto" w:sz="6" w:space="0"/>
              <w:right w:val="single" w:color="auto" w:sz="6" w:space="0"/>
            </w:tcBorders>
            <w:tcW w:w="675" w:type="dxa"/>
            <w:vAlign w:val="center"/>
            <w:vMerge w:val="continue"/>
            <w:textDirection w:val="lrTb"/>
            <w:noWrap w:val="false"/>
          </w:tcPr>
          <w:p>
            <w:pPr>
              <w:ind w:firstLine="480"/>
              <w:rPr>
                <w:rFonts w:hint="eastAsia" w:asciiTheme="minorEastAsia" w:hAnsiTheme="minorEastAsia" w:eastAsiaTheme="minorEastAsia" w:cstheme="minorEastAsia"/>
                <w:sz w:val="22"/>
                <w:szCs w:val="22"/>
              </w:rPr>
            </w:pPr>
            <w:r/>
            <w:bookmarkStart w:id="177" w:name="_Hlk215652035"/>
            <w:r/>
            <w:r/>
          </w:p>
        </w:tc>
        <w:tc>
          <w:tcPr>
            <w:tcBorders>
              <w:top w:val="single" w:color="auto" w:sz="6" w:space="0"/>
              <w:left w:val="single" w:color="auto" w:sz="6" w:space="0"/>
              <w:bottom w:val="single" w:color="auto" w:sz="6" w:space="0"/>
              <w:right w:val="single" w:color="auto" w:sz="6" w:space="0"/>
            </w:tcBorders>
            <w:tcW w:w="1179" w:type="dxa"/>
            <w:vAlign w:val="center"/>
            <w:vMerge w:val="continue"/>
            <w:textDirection w:val="lrTb"/>
            <w:noWrap w:val="false"/>
          </w:tcPr>
          <w:p>
            <w:pPr>
              <w:ind w:firstLine="48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Borders>
              <w:top w:val="single" w:color="auto" w:sz="6" w:space="0"/>
              <w:left w:val="single" w:color="auto" w:sz="6" w:space="0"/>
              <w:bottom w:val="single" w:color="auto" w:sz="6" w:space="0"/>
              <w:right w:val="single" w:color="auto" w:sz="6" w:space="0"/>
            </w:tcBorders>
            <w:tcW w:w="2213" w:type="dxa"/>
            <w:vAlign w:val="center"/>
            <w:textDirection w:val="lrTb"/>
            <w:noWrap w:val="false"/>
          </w:tcPr>
          <w:p>
            <w:pPr>
              <w:jc w:val="left"/>
              <w:rPr>
                <w:rFonts w:hint="eastAsia" w:asciiTheme="minorEastAsia" w:hAnsiTheme="minorEastAsia" w:eastAsiaTheme="minorEastAsia" w:cstheme="minorEastAsia"/>
                <w:sz w:val="22"/>
                <w:szCs w:val="22"/>
              </w:rPr>
            </w:pPr>
            <w:r/>
            <w:bookmarkStart w:id="178" w:name="OLE_LINK102"/>
            <w:r>
              <w:rPr>
                <w:rFonts w:hint="eastAsia" w:asciiTheme="minorEastAsia" w:hAnsiTheme="minorEastAsia" w:eastAsiaTheme="minorEastAsia" w:cstheme="minorEastAsia"/>
                <w:sz w:val="22"/>
                <w:szCs w:val="22"/>
              </w:rPr>
              <w:t xml:space="preserve">报价</w:t>
            </w:r>
            <w:bookmarkEnd w:id="178"/>
            <w:r/>
            <w:r/>
          </w:p>
        </w:tc>
        <w:tc>
          <w:tcPr>
            <w:tcBorders>
              <w:top w:val="single" w:color="auto" w:sz="6" w:space="0"/>
              <w:left w:val="single" w:color="auto" w:sz="6" w:space="0"/>
              <w:bottom w:val="single" w:color="auto" w:sz="6" w:space="0"/>
              <w:right w:val="single" w:color="auto" w:sz="6" w:space="0"/>
            </w:tcBorders>
            <w:tcW w:w="4402" w:type="dxa"/>
            <w:vAlign w:val="center"/>
            <w:textDirection w:val="lrTb"/>
            <w:noWrap w:val="false"/>
          </w:tcPr>
          <w:p>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有且只有一个有效报价；未超过最高限价</w:t>
            </w:r>
            <w:bookmarkEnd w:id="177"/>
            <w:r/>
            <w:r/>
          </w:p>
        </w:tc>
      </w:tr>
      <w:tr>
        <w:trPr>
          <w:trHeight w:val="460"/>
        </w:trPr>
        <w:tc>
          <w:tcPr>
            <w:tcBorders>
              <w:top w:val="single" w:color="auto" w:sz="6" w:space="0"/>
              <w:left w:val="single" w:color="auto" w:sz="6" w:space="0"/>
              <w:bottom w:val="single" w:color="auto" w:sz="6" w:space="0"/>
              <w:right w:val="single" w:color="auto" w:sz="6" w:space="0"/>
            </w:tcBorders>
            <w:tcW w:w="675" w:type="dxa"/>
            <w:vAlign w:val="center"/>
            <w:vMerge w:val="continue"/>
            <w:textDirection w:val="lrTb"/>
            <w:noWrap w:val="false"/>
          </w:tcPr>
          <w:p>
            <w:pPr>
              <w:ind w:firstLine="480"/>
              <w:rPr>
                <w:rFonts w:hint="eastAsia" w:asciiTheme="minorEastAsia" w:hAnsiTheme="minorEastAsia" w:eastAsiaTheme="minorEastAsia" w:cstheme="minorEastAsia"/>
                <w:sz w:val="22"/>
                <w:szCs w:val="22"/>
              </w:rPr>
            </w:pPr>
            <w:r/>
            <w:bookmarkStart w:id="179" w:name="_Hlk201066645"/>
            <w:r/>
            <w:r/>
          </w:p>
        </w:tc>
        <w:tc>
          <w:tcPr>
            <w:tcBorders>
              <w:top w:val="single" w:color="auto" w:sz="6" w:space="0"/>
              <w:left w:val="single" w:color="auto" w:sz="6" w:space="0"/>
              <w:bottom w:val="single" w:color="auto" w:sz="6" w:space="0"/>
              <w:right w:val="single" w:color="auto" w:sz="6" w:space="0"/>
            </w:tcBorders>
            <w:tcW w:w="1179" w:type="dxa"/>
            <w:vAlign w:val="center"/>
            <w:vMerge w:val="continue"/>
            <w:textDirection w:val="lrTb"/>
            <w:noWrap w:val="false"/>
          </w:tcPr>
          <w:p>
            <w:pPr>
              <w:ind w:firstLine="48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Borders>
              <w:top w:val="single" w:color="auto" w:sz="6" w:space="0"/>
              <w:left w:val="single" w:color="auto" w:sz="6" w:space="0"/>
              <w:bottom w:val="single" w:color="auto" w:sz="6" w:space="0"/>
              <w:right w:val="single" w:color="auto" w:sz="6" w:space="0"/>
            </w:tcBorders>
            <w:tcW w:w="2213" w:type="dxa"/>
            <w:vAlign w:val="center"/>
            <w:textDirection w:val="lrTb"/>
            <w:noWrap w:val="false"/>
          </w:tcPr>
          <w:p>
            <w:pPr>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合同履行期限</w:t>
            </w:r>
            <w:r/>
          </w:p>
        </w:tc>
        <w:tc>
          <w:tcPr>
            <w:tcBorders>
              <w:top w:val="single" w:color="auto" w:sz="6" w:space="0"/>
              <w:left w:val="single" w:color="auto" w:sz="6" w:space="0"/>
              <w:bottom w:val="single" w:color="auto" w:sz="6" w:space="0"/>
              <w:right w:val="single" w:color="auto" w:sz="6" w:space="0"/>
            </w:tcBorders>
            <w:tcW w:w="4402" w:type="dxa"/>
            <w:vAlign w:val="center"/>
            <w:textDirection w:val="lrTb"/>
            <w:noWrap w:val="false"/>
          </w:tcPr>
          <w:p>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符合第二章第1.3.2项规定</w:t>
            </w:r>
            <w:bookmarkEnd w:id="179"/>
            <w:r/>
            <w:r/>
          </w:p>
        </w:tc>
      </w:tr>
      <w:tr>
        <w:trPr>
          <w:trHeight w:val="410"/>
        </w:trPr>
        <w:tc>
          <w:tcPr>
            <w:tcBorders>
              <w:top w:val="single" w:color="auto" w:sz="6" w:space="0"/>
              <w:left w:val="single" w:color="auto" w:sz="6" w:space="0"/>
              <w:bottom w:val="single" w:color="auto" w:sz="6" w:space="0"/>
              <w:right w:val="single" w:color="auto" w:sz="6" w:space="0"/>
            </w:tcBorders>
            <w:tcW w:w="675" w:type="dxa"/>
            <w:vAlign w:val="center"/>
            <w:vMerge w:val="continue"/>
            <w:textDirection w:val="lrTb"/>
            <w:noWrap w:val="false"/>
          </w:tcPr>
          <w:p>
            <w:pPr>
              <w:ind w:firstLine="480"/>
              <w:rPr>
                <w:rFonts w:hint="eastAsia" w:asciiTheme="minorEastAsia" w:hAnsiTheme="minorEastAsia" w:eastAsiaTheme="minorEastAsia" w:cstheme="minorEastAsia"/>
                <w:sz w:val="22"/>
                <w:szCs w:val="22"/>
              </w:rPr>
            </w:pPr>
            <w:r/>
            <w:bookmarkStart w:id="180" w:name="_Hlk215652066"/>
            <w:r/>
            <w:r/>
          </w:p>
        </w:tc>
        <w:tc>
          <w:tcPr>
            <w:tcBorders>
              <w:top w:val="single" w:color="auto" w:sz="6" w:space="0"/>
              <w:left w:val="single" w:color="auto" w:sz="6" w:space="0"/>
              <w:bottom w:val="single" w:color="auto" w:sz="6" w:space="0"/>
              <w:right w:val="single" w:color="auto" w:sz="6" w:space="0"/>
            </w:tcBorders>
            <w:tcW w:w="1179" w:type="dxa"/>
            <w:vAlign w:val="center"/>
            <w:vMerge w:val="continue"/>
            <w:textDirection w:val="lrTb"/>
            <w:noWrap w:val="false"/>
          </w:tcPr>
          <w:p>
            <w:pPr>
              <w:ind w:firstLine="48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Borders>
              <w:top w:val="single" w:color="auto" w:sz="6" w:space="0"/>
              <w:left w:val="single" w:color="auto" w:sz="6" w:space="0"/>
              <w:bottom w:val="single" w:color="auto" w:sz="6" w:space="0"/>
              <w:right w:val="single" w:color="auto" w:sz="6" w:space="0"/>
            </w:tcBorders>
            <w:tcW w:w="2213" w:type="dxa"/>
            <w:vAlign w:val="center"/>
            <w:textDirection w:val="lrTb"/>
            <w:noWrap w:val="false"/>
          </w:tcPr>
          <w:p>
            <w:pPr>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投标有效期</w:t>
            </w:r>
            <w:r/>
          </w:p>
        </w:tc>
        <w:tc>
          <w:tcPr>
            <w:tcBorders>
              <w:top w:val="single" w:color="auto" w:sz="6" w:space="0"/>
              <w:left w:val="single" w:color="auto" w:sz="6" w:space="0"/>
              <w:bottom w:val="single" w:color="auto" w:sz="6" w:space="0"/>
              <w:right w:val="single" w:color="auto" w:sz="6" w:space="0"/>
            </w:tcBorders>
            <w:tcW w:w="4402" w:type="dxa"/>
            <w:vAlign w:val="center"/>
            <w:textDirection w:val="lrTb"/>
            <w:noWrap w:val="false"/>
          </w:tcPr>
          <w:p>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符合第二章第3.3.1项规定</w:t>
            </w:r>
            <w:bookmarkEnd w:id="180"/>
            <w:r/>
            <w:r/>
          </w:p>
        </w:tc>
      </w:tr>
      <w:tr>
        <w:trPr>
          <w:trHeight w:val="90"/>
        </w:trPr>
        <w:tc>
          <w:tcPr>
            <w:tcBorders>
              <w:top w:val="single" w:color="auto" w:sz="6" w:space="0"/>
              <w:left w:val="single" w:color="auto" w:sz="6" w:space="0"/>
              <w:bottom w:val="single" w:color="auto" w:sz="6" w:space="0"/>
              <w:right w:val="single" w:color="auto" w:sz="6" w:space="0"/>
            </w:tcBorders>
            <w:tcW w:w="675" w:type="dxa"/>
            <w:vAlign w:val="center"/>
            <w:vMerge w:val="continue"/>
            <w:textDirection w:val="lrTb"/>
            <w:noWrap w:val="false"/>
          </w:tcPr>
          <w:p>
            <w:pPr>
              <w:ind w:firstLine="480"/>
              <w:rPr>
                <w:rFonts w:hint="eastAsia" w:asciiTheme="minorEastAsia" w:hAnsiTheme="minorEastAsia" w:eastAsiaTheme="minorEastAsia" w:cstheme="minorEastAsia"/>
                <w:sz w:val="22"/>
                <w:szCs w:val="22"/>
              </w:rPr>
            </w:pPr>
            <w:r/>
            <w:bookmarkStart w:id="181" w:name="_Hlk201066754"/>
            <w:r/>
            <w:r/>
          </w:p>
        </w:tc>
        <w:tc>
          <w:tcPr>
            <w:tcBorders>
              <w:top w:val="single" w:color="auto" w:sz="6" w:space="0"/>
              <w:left w:val="single" w:color="auto" w:sz="6" w:space="0"/>
              <w:bottom w:val="single" w:color="auto" w:sz="6" w:space="0"/>
              <w:right w:val="single" w:color="auto" w:sz="6" w:space="0"/>
            </w:tcBorders>
            <w:tcW w:w="1179" w:type="dxa"/>
            <w:vAlign w:val="center"/>
            <w:vMerge w:val="continue"/>
            <w:textDirection w:val="lrTb"/>
            <w:noWrap w:val="false"/>
          </w:tcPr>
          <w:p>
            <w:pPr>
              <w:ind w:firstLine="48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Borders>
              <w:top w:val="single" w:color="auto" w:sz="6" w:space="0"/>
              <w:left w:val="single" w:color="auto" w:sz="6" w:space="0"/>
              <w:bottom w:val="single" w:color="auto" w:sz="6" w:space="0"/>
              <w:right w:val="single" w:color="auto" w:sz="6" w:space="0"/>
            </w:tcBorders>
            <w:tcW w:w="2213" w:type="dxa"/>
            <w:vAlign w:val="center"/>
            <w:textDirection w:val="lrTb"/>
            <w:noWrap w:val="false"/>
          </w:tcPr>
          <w:p>
            <w:pPr>
              <w:jc w:val="left"/>
              <w:rPr>
                <w:rFonts w:hint="eastAsia" w:asciiTheme="minorEastAsia" w:hAnsiTheme="minorEastAsia" w:eastAsiaTheme="minorEastAsia" w:cstheme="minorEastAsia"/>
                <w:sz w:val="22"/>
                <w:szCs w:val="22"/>
              </w:rPr>
            </w:pPr>
            <w:r/>
            <w:bookmarkStart w:id="182" w:name="OLE_LINK116"/>
            <w:r/>
            <w:bookmarkStart w:id="183" w:name="OLE_LINK115"/>
            <w:r>
              <w:rPr>
                <w:rFonts w:hint="eastAsia" w:asciiTheme="minorEastAsia" w:hAnsiTheme="minorEastAsia" w:eastAsiaTheme="minorEastAsia" w:cstheme="minorEastAsia"/>
                <w:sz w:val="22"/>
                <w:szCs w:val="22"/>
              </w:rPr>
              <w:t xml:space="preserve">偏离</w:t>
            </w:r>
            <w:bookmarkEnd w:id="182"/>
            <w:r/>
            <w:bookmarkEnd w:id="183"/>
            <w:r/>
            <w:r/>
          </w:p>
        </w:tc>
        <w:tc>
          <w:tcPr>
            <w:tcBorders>
              <w:top w:val="single" w:color="auto" w:sz="6" w:space="0"/>
              <w:left w:val="single" w:color="auto" w:sz="6" w:space="0"/>
              <w:bottom w:val="single" w:color="auto" w:sz="6" w:space="0"/>
              <w:right w:val="single" w:color="auto" w:sz="6" w:space="0"/>
            </w:tcBorders>
            <w:tcW w:w="4402" w:type="dxa"/>
            <w:vAlign w:val="center"/>
            <w:textDirection w:val="lrTb"/>
            <w:noWrap w:val="false"/>
          </w:tcPr>
          <w:p>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符合第二章“投标人须知”第1.8项规定</w:t>
            </w:r>
            <w:r/>
          </w:p>
          <w:p>
            <w:pPr>
              <w:spacing w:line="29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不允许负偏离，否则将做无效标处理。</w:t>
            </w:r>
            <w:r/>
          </w:p>
          <w:p>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供应商应仔细阅读采购需求和评标办法，结合自身的实际情况，如实填写采购需求响应表。</w:t>
            </w:r>
            <w:bookmarkEnd w:id="181"/>
            <w:r/>
            <w:r/>
          </w:p>
        </w:tc>
      </w:tr>
      <w:tr>
        <w:trPr>
          <w:trHeight w:val="550"/>
        </w:trPr>
        <w:tc>
          <w:tcPr>
            <w:gridSpan w:val="4"/>
            <w:tcBorders>
              <w:top w:val="single" w:color="auto" w:sz="6" w:space="0"/>
              <w:left w:val="single" w:color="auto" w:sz="6" w:space="0"/>
              <w:bottom w:val="single" w:color="auto" w:sz="6" w:space="0"/>
              <w:right w:val="single" w:color="auto" w:sz="6" w:space="0"/>
            </w:tcBorders>
            <w:tcW w:w="8469" w:type="dxa"/>
            <w:vAlign w:val="center"/>
            <w:textDirection w:val="lrTb"/>
            <w:noWrap w:val="false"/>
          </w:tcPr>
          <w:p>
            <w:pPr>
              <w:spacing w:line="460" w:lineRule="exact"/>
              <w:rPr>
                <w:rFonts w:hint="eastAsia" w:asciiTheme="minorEastAsia" w:hAnsiTheme="minorEastAsia" w:eastAsiaTheme="minorEastAsia" w:cstheme="minorEastAsia"/>
                <w:spacing w:val="-18"/>
                <w:sz w:val="22"/>
                <w:szCs w:val="22"/>
              </w:rPr>
            </w:pPr>
            <w:r>
              <w:rPr>
                <w:rFonts w:hint="eastAsia" w:asciiTheme="minorEastAsia" w:hAnsiTheme="minorEastAsia" w:eastAsiaTheme="minorEastAsia" w:cstheme="minorEastAsia"/>
                <w:b/>
                <w:spacing w:val="-14"/>
                <w:sz w:val="22"/>
                <w:szCs w:val="22"/>
              </w:rPr>
              <w:t xml:space="preserve">2.2.2项评审内容由评标委员会负责，投标文件不符合2.2.2项评审标准的，作无效标处理。</w:t>
            </w:r>
            <w:r/>
          </w:p>
        </w:tc>
      </w:tr>
    </w:tbl>
    <w:p>
      <w:pPr>
        <w:ind w:firstLine="422"/>
        <w:jc w:val="left"/>
        <w:spacing w:line="360" w:lineRule="auto"/>
        <w:rPr>
          <w:rFonts w:asciiTheme="minorEastAsia" w:hAnsiTheme="minorEastAsia" w:eastAsiaTheme="minorEastAsia"/>
          <w:b/>
        </w:rPr>
      </w:pPr>
      <w:r/>
      <w:bookmarkStart w:id="184" w:name="_Toc152042365"/>
      <w:r/>
      <w:bookmarkStart w:id="185" w:name="_Toc179632606"/>
      <w:r/>
      <w:bookmarkStart w:id="186" w:name="_Toc247085747"/>
      <w:r/>
      <w:bookmarkStart w:id="187" w:name="_Toc144974556"/>
      <w:r/>
      <w:bookmarkStart w:id="188" w:name="_Toc247085746"/>
      <w:r/>
      <w:bookmarkStart w:id="189" w:name="_Toc246996231"/>
      <w:r/>
      <w:bookmarkStart w:id="190" w:name="_Toc426469920"/>
      <w:r/>
      <w:bookmarkStart w:id="191" w:name="_Toc383438647"/>
      <w:r/>
      <w:bookmarkStart w:id="192" w:name="_Toc343525564"/>
      <w:r/>
      <w:bookmarkStart w:id="193" w:name="_Toc152042366"/>
      <w:r/>
      <w:bookmarkStart w:id="194" w:name="_Toc152045588"/>
      <w:r/>
      <w:bookmarkStart w:id="195" w:name="_Toc144974555"/>
      <w:r/>
      <w:bookmarkStart w:id="196" w:name="_Toc246996974"/>
      <w:r/>
      <w:bookmarkStart w:id="197" w:name="_Toc246996232"/>
      <w:r/>
      <w:bookmarkStart w:id="198" w:name="_Toc179632607"/>
      <w:r/>
      <w:bookmarkStart w:id="199" w:name="_Toc246996975"/>
      <w:r/>
      <w:bookmarkStart w:id="200" w:name="_Toc343525563"/>
      <w:r/>
      <w:bookmarkStart w:id="201" w:name="_Toc152045589"/>
      <w:r>
        <w:rPr>
          <w:rFonts w:hint="eastAsia" w:asciiTheme="minorEastAsia" w:hAnsiTheme="minorEastAsia" w:eastAsiaTheme="minorEastAsia"/>
          <w:b/>
        </w:rPr>
        <w:t xml:space="preserve">2.3详细评审</w:t>
      </w:r>
      <w:r/>
    </w:p>
    <w:p>
      <w:pPr>
        <w:ind w:firstLine="420"/>
        <w:jc w:val="left"/>
        <w:spacing w:line="360" w:lineRule="auto"/>
        <w:rPr>
          <w:rFonts w:asciiTheme="minorEastAsia" w:hAnsiTheme="minorEastAsia" w:eastAsiaTheme="minorEastAsia"/>
          <w:b/>
        </w:rPr>
      </w:pPr>
      <w:r>
        <w:rPr>
          <w:rFonts w:hint="eastAsia" w:ascii="宋体" w:hAnsi="宋体" w:cs="宋体"/>
          <w:color w:val="000000"/>
          <w:szCs w:val="21"/>
        </w:rPr>
        <w:t xml:space="preserve">采取综合评分法进行详细评审，并采取打分的方法衡量投标文件是否最大限度地满足招标文件中规定的各项评价标准，满分为100分。评标委员会从以下几方面对投标文件进行详细评审和打分。</w:t>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
    </w:p>
    <w:tbl>
      <w:tblPr>
        <w:tblStyle w:val="871"/>
        <w:tblW w:w="51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4"/>
        <w:gridCol w:w="1080"/>
        <w:gridCol w:w="779"/>
        <w:gridCol w:w="6435"/>
      </w:tblGrid>
      <w:tr>
        <w:trPr>
          <w:jc w:val="center"/>
          <w:trHeight w:val="459"/>
        </w:trPr>
        <w:tc>
          <w:tcPr>
            <w:tcMar>
              <w:left w:w="108" w:type="dxa"/>
              <w:top w:w="0" w:type="dxa"/>
              <w:right w:w="108" w:type="dxa"/>
              <w:bottom w:w="0" w:type="dxa"/>
            </w:tcMar>
            <w:tcW w:w="232" w:type="pct"/>
            <w:vAlign w:val="center"/>
            <w:textDirection w:val="lrTb"/>
            <w:noWrap w:val="false"/>
          </w:tcPr>
          <w:p>
            <w:pPr>
              <w:jc w:val="center"/>
              <w:rPr>
                <w:rFonts w:hint="eastAsia" w:ascii="宋体" w:hAnsi="宋体" w:eastAsia="宋体" w:cs="宋体"/>
                <w:b/>
                <w:bCs/>
                <w:color w:val="auto"/>
                <w:sz w:val="22"/>
                <w:szCs w:val="22"/>
              </w:rPr>
              <w:pBdr>
                <w:top w:val="none" w:color="000000" w:sz="0" w:space="0"/>
                <w:left w:val="none" w:color="000000" w:sz="0" w:space="0"/>
                <w:bottom w:val="none" w:color="000000" w:sz="0" w:space="0"/>
                <w:right w:val="none" w:color="000000" w:sz="0" w:space="0"/>
              </w:pBdr>
            </w:pPr>
            <w:r/>
            <w:bookmarkStart w:id="202" w:name="_Toc426469921"/>
            <w:r/>
            <w:bookmarkStart w:id="203" w:name="_Toc390099064"/>
            <w:r/>
            <w:bookmarkStart w:id="204" w:name="_Toc16938558"/>
            <w:r/>
            <w:bookmarkStart w:id="205" w:name="_Toc390098886"/>
            <w:r/>
            <w:bookmarkStart w:id="206" w:name="_Toc383679793"/>
            <w:r/>
            <w:bookmarkStart w:id="207" w:name="_Toc382812483"/>
            <w:r/>
            <w:bookmarkStart w:id="208" w:name="_Toc382813932"/>
            <w:r/>
            <w:bookmarkStart w:id="209" w:name="_Toc383698693"/>
            <w:r/>
            <w:bookmarkStart w:id="210" w:name="_Toc383626040"/>
            <w:r/>
            <w:bookmarkStart w:id="211" w:name="_Toc405388431"/>
            <w:r/>
            <w:bookmarkStart w:id="212" w:name="_Toc383587504"/>
            <w:r/>
            <w:bookmarkStart w:id="213" w:name="_Toc382814013"/>
            <w:r/>
            <w:bookmarkStart w:id="214" w:name="_Toc383623991"/>
            <w:r/>
            <w:bookmarkStart w:id="215" w:name="_Toc479757207"/>
            <w:r/>
            <w:bookmarkStart w:id="216" w:name="_Toc383623719"/>
            <w:r/>
            <w:bookmarkStart w:id="217" w:name="_Toc288030331"/>
            <w:r/>
            <w:bookmarkStart w:id="218" w:name="_Toc120614221"/>
            <w:r/>
            <w:bookmarkStart w:id="219" w:name="_Toc282446295"/>
            <w:r/>
            <w:bookmarkStart w:id="220" w:name="_Toc513029242"/>
            <w:r/>
            <w:bookmarkStart w:id="221" w:name="_Toc426469928"/>
            <w:r/>
            <w:bookmarkStart w:id="222" w:name="_Toc20823314"/>
            <w:r/>
            <w:bookmarkStart w:id="223" w:name="_Toc390246951"/>
            <w:r>
              <w:rPr>
                <w:rFonts w:hint="eastAsia" w:ascii="宋体" w:hAnsi="宋体" w:eastAsia="宋体" w:cs="宋体"/>
                <w:b/>
                <w:bCs/>
                <w:color w:val="auto"/>
                <w:sz w:val="22"/>
                <w:szCs w:val="22"/>
              </w:rPr>
              <w:t xml:space="preserve">序号</w:t>
            </w:r>
            <w:r/>
          </w:p>
        </w:tc>
        <w:tc>
          <w:tcPr>
            <w:gridSpan w:val="2"/>
            <w:tcMar>
              <w:left w:w="108" w:type="dxa"/>
              <w:top w:w="0" w:type="dxa"/>
              <w:right w:w="108" w:type="dxa"/>
              <w:bottom w:w="0" w:type="dxa"/>
            </w:tcMar>
            <w:tcW w:w="1068" w:type="pct"/>
            <w:vAlign w:val="center"/>
            <w:textDirection w:val="lrTb"/>
            <w:noWrap w:val="false"/>
          </w:tcPr>
          <w:p>
            <w:pPr>
              <w:jc w:val="center"/>
              <w:rPr>
                <w:rFonts w:hint="eastAsia" w:ascii="宋体" w:hAnsi="宋体" w:eastAsia="宋体" w:cs="宋体"/>
                <w:b/>
                <w:bCs/>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rPr>
              <w:t xml:space="preserve">评分因素</w:t>
            </w:r>
            <w:r/>
          </w:p>
        </w:tc>
        <w:tc>
          <w:tcPr>
            <w:tcMar>
              <w:left w:w="108" w:type="dxa"/>
              <w:top w:w="0" w:type="dxa"/>
              <w:right w:w="108" w:type="dxa"/>
              <w:bottom w:w="0" w:type="dxa"/>
            </w:tcMar>
            <w:tcW w:w="3699" w:type="pct"/>
            <w:vAlign w:val="center"/>
            <w:textDirection w:val="lrTb"/>
            <w:noWrap w:val="false"/>
          </w:tcPr>
          <w:p>
            <w:pPr>
              <w:jc w:val="center"/>
              <w:rPr>
                <w:rFonts w:hint="eastAsia" w:ascii="宋体" w:hAnsi="宋体" w:eastAsia="宋体" w:cs="宋体"/>
                <w:b/>
                <w:bCs/>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rPr>
              <w:t xml:space="preserve">评审标准</w:t>
            </w:r>
            <w:r/>
          </w:p>
        </w:tc>
      </w:tr>
      <w:tr>
        <w:trPr>
          <w:jc w:val="center"/>
          <w:trHeight w:val="90"/>
        </w:trPr>
        <w:tc>
          <w:tcPr>
            <w:tcMar>
              <w:left w:w="108" w:type="dxa"/>
              <w:top w:w="0" w:type="dxa"/>
              <w:right w:w="108" w:type="dxa"/>
              <w:bottom w:w="0" w:type="dxa"/>
            </w:tcMar>
            <w:tcW w:w="232" w:type="pct"/>
            <w:vAlign w:val="center"/>
            <w:textDirection w:val="lrTb"/>
            <w:noWrap w:val="false"/>
          </w:tcPr>
          <w:p>
            <w:pPr>
              <w:jc w:val="center"/>
              <w:spacing w:line="312"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1</w:t>
            </w:r>
            <w:r/>
          </w:p>
        </w:tc>
        <w:tc>
          <w:tcPr>
            <w:gridSpan w:val="2"/>
            <w:tcMar>
              <w:left w:w="108" w:type="dxa"/>
              <w:top w:w="0" w:type="dxa"/>
              <w:right w:w="108" w:type="dxa"/>
              <w:bottom w:w="0" w:type="dxa"/>
            </w:tcMar>
            <w:tcW w:w="1068" w:type="pct"/>
            <w:vAlign w:val="center"/>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价格部分（</w:t>
            </w:r>
            <w:r>
              <w:rPr>
                <w:rFonts w:hint="eastAsia" w:ascii="宋体" w:hAnsi="宋体" w:cs="宋体"/>
                <w:color w:val="auto"/>
                <w:sz w:val="22"/>
                <w:szCs w:val="22"/>
                <w:lang w:val="en-US" w:eastAsia="zh-CN"/>
              </w:rPr>
              <w:t xml:space="preserve">20</w:t>
            </w:r>
            <w:r>
              <w:rPr>
                <w:rFonts w:hint="eastAsia" w:ascii="宋体" w:hAnsi="宋体" w:eastAsia="宋体" w:cs="宋体"/>
                <w:color w:val="auto"/>
                <w:sz w:val="22"/>
                <w:szCs w:val="22"/>
              </w:rPr>
              <w:t xml:space="preserve">分）</w:t>
            </w:r>
            <w:r/>
          </w:p>
          <w:p>
            <w:pPr>
              <w:jc w:val="both"/>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3699" w:type="pct"/>
            <w:vAlign w:val="center"/>
            <w:textDirection w:val="lrTb"/>
            <w:noWrap w:val="false"/>
          </w:tcPr>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24" w:name="OLE_LINK119"/>
            <w:r>
              <w:rPr>
                <w:rFonts w:hint="eastAsia" w:ascii="宋体" w:hAnsi="宋体" w:eastAsia="宋体" w:cs="宋体"/>
                <w:color w:val="auto"/>
                <w:sz w:val="22"/>
                <w:szCs w:val="22"/>
              </w:rPr>
              <w:t xml:space="preserve">价格分采用低价优先法计算，即满足招标文件要求且最后报价最低的为评标基准价，其价格分为满分。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其他投标人的价格分统一按照下列公式计算（小数点保留两位）：报价得分=(评标基准价／</w:t>
            </w:r>
            <w:bookmarkStart w:id="225" w:name="OLE_LINK61"/>
            <w:r/>
            <w:bookmarkStart w:id="226" w:name="OLE_LINK62"/>
            <w:r>
              <w:rPr>
                <w:rFonts w:hint="eastAsia" w:ascii="宋体" w:hAnsi="宋体" w:cs="宋体"/>
                <w:color w:val="auto"/>
                <w:sz w:val="22"/>
                <w:szCs w:val="22"/>
                <w:lang w:val="en-US" w:eastAsia="zh-CN"/>
              </w:rPr>
              <w:t xml:space="preserve">投标</w:t>
            </w:r>
            <w:r>
              <w:rPr>
                <w:rFonts w:hint="eastAsia" w:ascii="宋体" w:hAnsi="宋体" w:eastAsia="宋体" w:cs="宋体"/>
                <w:color w:val="auto"/>
                <w:sz w:val="22"/>
                <w:szCs w:val="22"/>
              </w:rPr>
              <w:t xml:space="preserve">报价</w:t>
            </w:r>
            <w:bookmarkEnd w:id="225"/>
            <w:r/>
            <w:bookmarkEnd w:id="226"/>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20</w:t>
            </w:r>
            <w:r>
              <w:rPr>
                <w:rFonts w:hint="eastAsia" w:ascii="宋体" w:hAnsi="宋体" w:eastAsia="宋体" w:cs="宋体"/>
                <w:color w:val="auto"/>
                <w:sz w:val="22"/>
                <w:szCs w:val="22"/>
              </w:rPr>
              <w:t xml:space="preserve">。</w:t>
            </w:r>
            <w:r/>
          </w:p>
          <w:p>
            <w:pPr>
              <w:pStyle w:val="1096"/>
              <w:jc w:val="both"/>
              <w:spacing w:before="0" w:line="240" w:lineRule="atLeast"/>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备注：</w:t>
            </w:r>
            <w:r>
              <w:rPr>
                <w:rFonts w:hint="eastAsia" w:ascii="宋体" w:hAnsi="宋体" w:cs="宋体"/>
                <w:color w:val="auto"/>
                <w:sz w:val="22"/>
                <w:szCs w:val="22"/>
                <w:lang w:val="en-US" w:eastAsia="zh-CN"/>
              </w:rPr>
              <w:t xml:space="preserve">1、</w:t>
            </w:r>
            <w:r>
              <w:rPr>
                <w:rFonts w:hint="eastAsia" w:ascii="宋体" w:hAnsi="宋体" w:eastAsia="宋体" w:cs="宋体"/>
                <w:b w:val="0"/>
                <w:bCs/>
                <w:sz w:val="22"/>
                <w:szCs w:val="22"/>
              </w:rPr>
              <w:t xml:space="preserve">小型和微型企业报价给予10%的扣除，用扣除后的价格参加评审。符合条件的供应商应按照《政府采购促进中小企业发展管理办法》（财库〔2020〕46号</w:t>
            </w:r>
            <w:r>
              <w:rPr>
                <w:rFonts w:hint="eastAsia" w:ascii="宋体" w:hAnsi="宋体" w:cs="宋体"/>
                <w:b w:val="0"/>
                <w:bCs/>
                <w:sz w:val="22"/>
                <w:szCs w:val="22"/>
                <w:lang w:eastAsia="zh-CN"/>
              </w:rPr>
              <w:t xml:space="preserve">、苏财购﹝2022﹞45号</w:t>
            </w:r>
            <w:r>
              <w:rPr>
                <w:rFonts w:hint="eastAsia" w:ascii="宋体" w:hAnsi="宋体" w:eastAsia="宋体" w:cs="宋体"/>
                <w:b w:val="0"/>
                <w:bCs/>
                <w:sz w:val="22"/>
                <w:szCs w:val="22"/>
              </w:rPr>
              <w:t xml:space="preserve">）的规定提供《中小企业声明函》（附后），并对声明的真实性负责。中小企业划型标准详见《关于印发中小企业划型标准规定的通知》（工信部联企业〔2011〕300号）。根据财库[2017]141号文、财库[2014]68号文规定，监狱企业、残疾人福利性单位视同为小、微企业。</w:t>
            </w:r>
            <w:r>
              <w:rPr>
                <w:rFonts w:hint="eastAsia" w:ascii="宋体" w:hAnsi="宋体" w:cs="宋体"/>
                <w:sz w:val="22"/>
                <w:szCs w:val="22"/>
                <w:lang w:eastAsia="zh-CN"/>
              </w:rPr>
              <w:t xml:space="preserve">（</w:t>
            </w:r>
            <w:r>
              <w:rPr>
                <w:rFonts w:hint="eastAsia" w:ascii="宋体" w:hAnsi="宋体" w:eastAsia="宋体" w:cs="宋体"/>
                <w:b/>
                <w:sz w:val="22"/>
                <w:szCs w:val="22"/>
                <w:lang w:eastAsia="zh-CN"/>
              </w:rPr>
              <w:t xml:space="preserve">注：未按要求填写《中小企业声明函》或相关内容表述不清的，不得享受价格扣除。供应商按照本规定提供声明函内容不实的，属于提供虚假材料谋取中标、成交，依照《中华人民共和国政府采购法》等国家有关规定追究相应责任。</w:t>
            </w:r>
            <w:r>
              <w:rPr>
                <w:rFonts w:hint="eastAsia" w:ascii="宋体" w:hAnsi="宋体" w:cs="宋体"/>
                <w:sz w:val="22"/>
                <w:szCs w:val="22"/>
                <w:lang w:eastAsia="zh-CN"/>
              </w:rPr>
              <w:t xml:space="preserve">）</w:t>
            </w:r>
            <w:r/>
          </w:p>
          <w:p>
            <w:pPr>
              <w:spacing w:line="240" w:lineRule="auto"/>
              <w:rPr>
                <w:rFonts w:hint="eastAsia" w:ascii="宋体" w:hAnsi="宋体" w:cs="宋体"/>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val="en-US" w:eastAsia="zh-CN"/>
              </w:rPr>
              <w:t xml:space="preserve">2、本项目所属行业为</w:t>
            </w:r>
            <w:r>
              <w:rPr>
                <w:rFonts w:hint="eastAsia" w:ascii="宋体" w:hAnsi="宋体" w:cs="宋体"/>
                <w:color w:val="ff0000"/>
                <w:sz w:val="22"/>
                <w:szCs w:val="22"/>
                <w:u w:val="single"/>
                <w:lang w:val="en-US" w:eastAsia="zh-CN"/>
              </w:rPr>
              <w:t xml:space="preserve">其他未列明行业</w:t>
            </w:r>
            <w:r>
              <w:rPr>
                <w:rFonts w:hint="eastAsia" w:ascii="宋体" w:hAnsi="宋体" w:cs="宋体"/>
                <w:color w:val="auto"/>
                <w:sz w:val="22"/>
                <w:szCs w:val="22"/>
                <w:lang w:val="en-US" w:eastAsia="zh-CN"/>
              </w:rPr>
              <w:t xml:space="preserve">。</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224"/>
            <w:r/>
            <w:r/>
          </w:p>
        </w:tc>
      </w:tr>
      <w:tr>
        <w:trPr>
          <w:jc w:val="center"/>
          <w:trHeight w:val="416"/>
        </w:trPr>
        <w:tc>
          <w:tcPr>
            <w:tcMar>
              <w:left w:w="108" w:type="dxa"/>
              <w:top w:w="0" w:type="dxa"/>
              <w:right w:w="108" w:type="dxa"/>
              <w:bottom w:w="0" w:type="dxa"/>
            </w:tcMar>
            <w:tcW w:w="232" w:type="pct"/>
            <w:vAlign w:val="center"/>
            <w:vMerge w:val="restart"/>
            <w:textDirection w:val="lrTb"/>
            <w:noWrap w:val="false"/>
          </w:tcPr>
          <w:p>
            <w:pPr>
              <w:jc w:val="center"/>
              <w:spacing w:line="312"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2</w:t>
            </w:r>
            <w:r/>
          </w:p>
        </w:tc>
        <w:tc>
          <w:tcPr>
            <w:tcMar>
              <w:left w:w="108" w:type="dxa"/>
              <w:top w:w="0" w:type="dxa"/>
              <w:right w:w="108" w:type="dxa"/>
              <w:bottom w:w="0" w:type="dxa"/>
            </w:tcMar>
            <w:tcW w:w="620" w:type="pct"/>
            <w:vAlign w:val="center"/>
            <w:vMerge w:val="restart"/>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商务部分</w:t>
            </w:r>
            <w:r/>
          </w:p>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0分）</w:t>
            </w:r>
            <w:r/>
          </w:p>
        </w:tc>
        <w:tc>
          <w:tcPr>
            <w:tcMar>
              <w:left w:w="108" w:type="dxa"/>
              <w:top w:w="0" w:type="dxa"/>
              <w:right w:w="108" w:type="dxa"/>
              <w:bottom w:w="0" w:type="dxa"/>
            </w:tcMar>
            <w:tcW w:w="447" w:type="pct"/>
            <w:vAlign w:val="center"/>
            <w:textDirection w:val="lrTb"/>
            <w:noWrap w:val="false"/>
          </w:tcPr>
          <w:p>
            <w:pPr>
              <w:jc w:val="center"/>
              <w:spacing w:line="460" w:lineRule="exact"/>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业绩</w:t>
            </w:r>
            <w:r/>
          </w:p>
          <w:p>
            <w:pPr>
              <w:jc w:val="center"/>
              <w:spacing w:line="300" w:lineRule="exact"/>
              <w:widowControl/>
              <w:rPr>
                <w:rFonts w:hint="eastAsia" w:ascii="宋体" w:hAnsi="宋体" w:eastAsia="宋体" w:cs="宋体"/>
                <w:b w:val="0"/>
                <w:bCs w:val="0"/>
                <w:color w:val="auto"/>
                <w:sz w:val="22"/>
                <w:szCs w:val="22"/>
              </w:rPr>
            </w:pPr>
            <w:r>
              <w:rPr>
                <w:rFonts w:hint="eastAsia" w:ascii="宋体" w:hAnsi="宋体" w:eastAsia="宋体" w:cs="宋体"/>
                <w:b w:val="0"/>
                <w:bCs w:val="0"/>
                <w:sz w:val="22"/>
                <w:szCs w:val="22"/>
              </w:rPr>
              <w:t xml:space="preserve">（1</w:t>
            </w:r>
            <w:r>
              <w:rPr>
                <w:rFonts w:hint="eastAsia" w:ascii="宋体" w:hAnsi="宋体" w:cs="宋体"/>
                <w:b w:val="0"/>
                <w:bCs w:val="0"/>
                <w:sz w:val="22"/>
                <w:szCs w:val="22"/>
                <w:lang w:val="en-US" w:eastAsia="zh-CN"/>
              </w:rPr>
              <w:t xml:space="preserve">6</w:t>
            </w:r>
            <w:r>
              <w:rPr>
                <w:rFonts w:hint="eastAsia" w:ascii="宋体" w:hAnsi="宋体" w:eastAsia="宋体" w:cs="宋体"/>
                <w:b w:val="0"/>
                <w:bCs w:val="0"/>
                <w:sz w:val="22"/>
                <w:szCs w:val="22"/>
              </w:rPr>
              <w:t xml:space="preserve">分）</w:t>
            </w:r>
            <w:r/>
          </w:p>
        </w:tc>
        <w:tc>
          <w:tcPr>
            <w:tcMar>
              <w:left w:w="108" w:type="dxa"/>
              <w:top w:w="0" w:type="dxa"/>
              <w:right w:w="108" w:type="dxa"/>
              <w:bottom w:w="0" w:type="dxa"/>
            </w:tcMar>
            <w:tcW w:w="3699" w:type="pct"/>
            <w:vAlign w:val="center"/>
            <w:textDirection w:val="lrTb"/>
            <w:noWrap w:val="false"/>
          </w:tcPr>
          <w:p>
            <w:pPr>
              <w:jc w:val="left"/>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自 2021年1月1日以来（以合同签订时间为准）投标人承担过类似业绩且经省级及以上文物单位或文物部门验收合格的每有一个得 </w:t>
            </w:r>
            <w:r>
              <w:rPr>
                <w:rFonts w:hint="eastAsia" w:ascii="宋体" w:hAnsi="宋体" w:cs="宋体"/>
                <w:sz w:val="22"/>
                <w:szCs w:val="22"/>
                <w:lang w:val="en-US" w:eastAsia="zh-CN"/>
              </w:rPr>
              <w:t xml:space="preserve">4</w:t>
            </w:r>
            <w:r>
              <w:rPr>
                <w:rFonts w:hint="eastAsia" w:ascii="宋体" w:hAnsi="宋体" w:eastAsia="宋体" w:cs="宋体"/>
                <w:sz w:val="22"/>
                <w:szCs w:val="22"/>
              </w:rPr>
              <w:t xml:space="preserve">分，本项最高得 </w:t>
            </w:r>
            <w:r>
              <w:rPr>
                <w:rFonts w:hint="eastAsia" w:ascii="宋体" w:hAnsi="宋体" w:cs="宋体"/>
                <w:sz w:val="22"/>
                <w:szCs w:val="22"/>
                <w:lang w:val="en-US" w:eastAsia="zh-CN"/>
              </w:rPr>
              <w:t xml:space="preserve">16</w:t>
            </w:r>
            <w:r>
              <w:rPr>
                <w:rFonts w:hint="eastAsia" w:ascii="宋体" w:hAnsi="宋体" w:eastAsia="宋体" w:cs="宋体"/>
                <w:sz w:val="22"/>
                <w:szCs w:val="22"/>
              </w:rPr>
              <w:t xml:space="preserve">分。</w:t>
            </w:r>
            <w:r/>
          </w:p>
          <w:p>
            <w:pPr>
              <w:jc w:val="left"/>
              <w:spacing w:line="340" w:lineRule="exact"/>
              <w:widowControl/>
              <w:rPr>
                <w:rFonts w:hint="eastAsia" w:ascii="宋体" w:hAnsi="宋体" w:eastAsia="宋体" w:cs="宋体"/>
                <w:color w:val="auto"/>
                <w:sz w:val="22"/>
                <w:szCs w:val="22"/>
              </w:rPr>
            </w:pPr>
            <w:r>
              <w:rPr>
                <w:rFonts w:hint="eastAsia" w:ascii="宋体" w:hAnsi="宋体" w:eastAsia="宋体" w:cs="宋体"/>
                <w:sz w:val="22"/>
                <w:szCs w:val="22"/>
              </w:rPr>
              <w:t xml:space="preserve">注： 业绩证明材料以中标（成交）通知书、合同、验收资料复印件加盖供应商公章上传系统为准，缺一不可，若业绩证明材料</w:t>
            </w:r>
            <w:r>
              <w:rPr>
                <w:rFonts w:hint="eastAsia" w:ascii="宋体" w:hAnsi="宋体" w:cs="宋体"/>
                <w:sz w:val="22"/>
                <w:szCs w:val="22"/>
                <w:lang w:val="en-US" w:eastAsia="zh-CN"/>
              </w:rPr>
              <w:t xml:space="preserve">中</w:t>
            </w:r>
            <w:r>
              <w:rPr>
                <w:rFonts w:hint="eastAsia" w:ascii="宋体" w:hAnsi="宋体" w:eastAsia="宋体" w:cs="宋体"/>
                <w:sz w:val="22"/>
                <w:szCs w:val="22"/>
              </w:rPr>
              <w:t xml:space="preserve">未能体现评分关键信息的，可提供由项目采购人盖章的证明材料。  </w:t>
            </w:r>
            <w:r/>
          </w:p>
        </w:tc>
      </w:tr>
      <w:tr>
        <w:trPr>
          <w:jc w:val="center"/>
          <w:trHeight w:val="625"/>
        </w:trPr>
        <w:tc>
          <w:tcPr>
            <w:tcMar>
              <w:left w:w="108" w:type="dxa"/>
              <w:top w:w="0" w:type="dxa"/>
              <w:right w:w="108" w:type="dxa"/>
              <w:bottom w:w="0" w:type="dxa"/>
            </w:tcMar>
            <w:tcW w:w="232" w:type="pct"/>
            <w:vAlign w:val="center"/>
            <w:vMerge w:val="continue"/>
            <w:textDirection w:val="lrTb"/>
            <w:noWrap w:val="false"/>
          </w:tcPr>
          <w:p>
            <w:pPr>
              <w:jc w:val="center"/>
              <w:spacing w:line="312"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620" w:type="pct"/>
            <w:vAlign w:val="center"/>
            <w:vMerge w:val="continue"/>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447" w:type="pct"/>
            <w:vAlign w:val="center"/>
            <w:textDirection w:val="lrTb"/>
            <w:noWrap w:val="false"/>
          </w:tcPr>
          <w:p>
            <w:pPr>
              <w:jc w:val="center"/>
              <w:spacing w:line="300" w:lineRule="exact"/>
              <w:widowControl/>
              <w:rPr>
                <w:rFonts w:hint="eastAsia" w:ascii="宋体" w:hAnsi="宋体" w:eastAsia="宋体" w:cs="宋体"/>
                <w:b w:val="0"/>
                <w:bCs w:val="0"/>
                <w:color w:val="auto"/>
                <w:sz w:val="22"/>
                <w:szCs w:val="22"/>
              </w:rPr>
            </w:pPr>
            <w:r>
              <w:rPr>
                <w:rFonts w:hint="eastAsia" w:ascii="宋体" w:hAnsi="宋体" w:eastAsia="宋体" w:cs="宋体"/>
                <w:b w:val="0"/>
                <w:bCs w:val="0"/>
                <w:sz w:val="22"/>
                <w:szCs w:val="22"/>
              </w:rPr>
              <w:t xml:space="preserve">项目负责人（</w:t>
            </w:r>
            <w:r>
              <w:rPr>
                <w:rFonts w:hint="eastAsia" w:ascii="宋体" w:hAnsi="宋体" w:cs="宋体"/>
                <w:b w:val="0"/>
                <w:bCs w:val="0"/>
                <w:sz w:val="22"/>
                <w:szCs w:val="22"/>
                <w:lang w:val="en-US" w:eastAsia="zh-CN"/>
              </w:rPr>
              <w:t xml:space="preserve">6</w:t>
            </w:r>
            <w:r>
              <w:rPr>
                <w:rFonts w:hint="eastAsia" w:ascii="宋体" w:hAnsi="宋体" w:eastAsia="宋体" w:cs="宋体"/>
                <w:b w:val="0"/>
                <w:bCs w:val="0"/>
                <w:sz w:val="22"/>
                <w:szCs w:val="22"/>
              </w:rPr>
              <w:t xml:space="preserve">分）</w:t>
            </w:r>
            <w:r/>
          </w:p>
        </w:tc>
        <w:tc>
          <w:tcPr>
            <w:tcMar>
              <w:left w:w="108" w:type="dxa"/>
              <w:top w:w="0" w:type="dxa"/>
              <w:right w:w="108" w:type="dxa"/>
              <w:bottom w:w="0" w:type="dxa"/>
            </w:tcMar>
            <w:tcW w:w="3699" w:type="pct"/>
            <w:vAlign w:val="center"/>
            <w:textDirection w:val="lrTb"/>
            <w:noWrap w:val="false"/>
          </w:tcPr>
          <w:p>
            <w:pPr>
              <w:jc w:val="left"/>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1.拟派项目负责人（领队）获得国家文物局颁发的考古领队资格证的，得</w:t>
            </w:r>
            <w:r>
              <w:rPr>
                <w:rFonts w:hint="eastAsia" w:ascii="宋体" w:hAnsi="宋体" w:cs="宋体"/>
                <w:sz w:val="22"/>
                <w:szCs w:val="22"/>
                <w:lang w:val="en-US" w:eastAsia="zh-CN"/>
              </w:rPr>
              <w:t xml:space="preserve">3</w:t>
            </w:r>
            <w:r>
              <w:rPr>
                <w:rFonts w:hint="eastAsia" w:ascii="宋体" w:hAnsi="宋体" w:eastAsia="宋体" w:cs="宋体"/>
                <w:sz w:val="22"/>
                <w:szCs w:val="22"/>
              </w:rPr>
              <w:t xml:space="preserve">分。</w:t>
            </w:r>
            <w:r/>
          </w:p>
          <w:p>
            <w:pPr>
              <w:jc w:val="left"/>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2.拟派项目负责人具有考古或文博或勘探或发掘相关专业高级（含以上）职称的，得</w:t>
            </w:r>
            <w:r>
              <w:rPr>
                <w:rFonts w:hint="eastAsia" w:ascii="宋体" w:hAnsi="宋体" w:cs="宋体"/>
                <w:sz w:val="22"/>
                <w:szCs w:val="22"/>
                <w:lang w:val="en-US" w:eastAsia="zh-CN"/>
              </w:rPr>
              <w:t xml:space="preserve">3</w:t>
            </w:r>
            <w:r>
              <w:rPr>
                <w:rFonts w:hint="eastAsia" w:ascii="宋体" w:hAnsi="宋体" w:eastAsia="宋体" w:cs="宋体"/>
                <w:sz w:val="22"/>
                <w:szCs w:val="22"/>
              </w:rPr>
              <w:t xml:space="preserve">分，具有考古或文博或勘探或发掘相关专业中级职称的，得</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分，本项最高</w:t>
            </w:r>
            <w:r>
              <w:rPr>
                <w:rFonts w:hint="eastAsia" w:ascii="宋体" w:hAnsi="宋体" w:cs="宋体"/>
                <w:sz w:val="22"/>
                <w:szCs w:val="22"/>
                <w:lang w:val="en-US" w:eastAsia="zh-CN"/>
              </w:rPr>
              <w:t xml:space="preserve">3</w:t>
            </w:r>
            <w:r>
              <w:rPr>
                <w:rFonts w:hint="eastAsia" w:ascii="宋体" w:hAnsi="宋体" w:eastAsia="宋体" w:cs="宋体"/>
                <w:sz w:val="22"/>
                <w:szCs w:val="22"/>
              </w:rPr>
              <w:t xml:space="preserve">分。</w:t>
            </w:r>
            <w:r/>
          </w:p>
          <w:p>
            <w:pPr>
              <w:jc w:val="left"/>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注：</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w:t>
            </w:r>
            <w:r>
              <w:rPr>
                <w:rFonts w:hint="eastAsia" w:ascii="宋体" w:hAnsi="宋体" w:cs="宋体"/>
                <w:sz w:val="22"/>
                <w:szCs w:val="22"/>
                <w:lang w:eastAsia="zh-CN"/>
              </w:rPr>
              <w:t xml:space="preserve">）</w:t>
            </w:r>
            <w:r>
              <w:rPr>
                <w:rFonts w:hint="eastAsia" w:ascii="宋体" w:hAnsi="宋体" w:eastAsia="宋体" w:cs="宋体"/>
                <w:sz w:val="22"/>
                <w:szCs w:val="22"/>
              </w:rPr>
              <w:t xml:space="preserve">相关证书（或文件）复印件加盖供应商公章上传系统，否则不得分。</w:t>
            </w:r>
            <w:r/>
          </w:p>
          <w:p>
            <w:pPr>
              <w:pStyle w:val="837"/>
              <w:ind w:left="0" w:firstLine="0"/>
              <w:jc w:val="both"/>
              <w:rPr>
                <w:rFonts w:hint="eastAsia" w:ascii="宋体" w:hAnsi="宋体" w:eastAsia="宋体" w:cs="宋体"/>
                <w:color w:val="auto"/>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2</w:t>
            </w:r>
            <w:r>
              <w:rPr>
                <w:rFonts w:hint="eastAsia" w:ascii="宋体" w:hAnsi="宋体" w:cs="宋体"/>
                <w:sz w:val="22"/>
                <w:szCs w:val="22"/>
                <w:lang w:eastAsia="zh-CN"/>
              </w:rPr>
              <w:t xml:space="preserve">）加分时，仅对供应商所报符合上述要求职称中的最高等次计分，且只计算一次，不重复累计。</w:t>
            </w:r>
            <w:r/>
          </w:p>
        </w:tc>
      </w:tr>
      <w:tr>
        <w:trPr>
          <w:jc w:val="center"/>
          <w:trHeight w:val="2793"/>
        </w:trPr>
        <w:tc>
          <w:tcPr>
            <w:tcW w:w="232" w:type="pct"/>
            <w:vMerge w:val="continue"/>
            <w:textDirection w:val="lrTb"/>
            <w:noWrap w:val="false"/>
          </w:tcPr>
          <w:p>
            <w:pPr>
              <w:jc w:val="center"/>
              <w:spacing w:line="312"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W w:w="620" w:type="pct"/>
            <w:vMerge w:val="continue"/>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447" w:type="pct"/>
            <w:vAlign w:val="center"/>
            <w:textDirection w:val="lrTb"/>
            <w:noWrap w:val="false"/>
          </w:tcPr>
          <w:p>
            <w:pPr>
              <w:jc w:val="center"/>
              <w:spacing w:line="340" w:lineRule="exact"/>
              <w:widowControl/>
              <w:rPr>
                <w:rFonts w:hint="eastAsia" w:ascii="宋体" w:hAnsi="宋体" w:eastAsia="宋体" w:cs="宋体"/>
                <w:b w:val="0"/>
                <w:bCs w:val="0"/>
                <w:color w:val="auto"/>
                <w:sz w:val="22"/>
                <w:szCs w:val="22"/>
              </w:rPr>
            </w:pPr>
            <w:r>
              <w:rPr>
                <w:rFonts w:hint="eastAsia" w:ascii="宋体" w:hAnsi="宋体" w:eastAsia="宋体" w:cs="宋体"/>
                <w:b w:val="0"/>
                <w:bCs w:val="0"/>
                <w:sz w:val="22"/>
                <w:szCs w:val="22"/>
              </w:rPr>
              <w:t xml:space="preserve">项目组其他成员（项目负责人除外）（</w:t>
            </w:r>
            <w:r>
              <w:rPr>
                <w:rFonts w:hint="eastAsia" w:ascii="宋体" w:hAnsi="宋体" w:cs="宋体"/>
                <w:b w:val="0"/>
                <w:bCs w:val="0"/>
                <w:sz w:val="22"/>
                <w:szCs w:val="22"/>
                <w:lang w:val="en-US" w:eastAsia="zh-CN"/>
              </w:rPr>
              <w:t xml:space="preserve">8</w:t>
            </w:r>
            <w:r>
              <w:rPr>
                <w:rFonts w:hint="eastAsia" w:ascii="宋体" w:hAnsi="宋体" w:eastAsia="宋体" w:cs="宋体"/>
                <w:b w:val="0"/>
                <w:bCs w:val="0"/>
                <w:sz w:val="22"/>
                <w:szCs w:val="22"/>
              </w:rPr>
              <w:t xml:space="preserve">）</w:t>
            </w:r>
            <w:r/>
          </w:p>
        </w:tc>
        <w:tc>
          <w:tcPr>
            <w:tcMar>
              <w:left w:w="108" w:type="dxa"/>
              <w:top w:w="0" w:type="dxa"/>
              <w:right w:w="108" w:type="dxa"/>
              <w:bottom w:w="0" w:type="dxa"/>
            </w:tcMar>
            <w:tcW w:w="3699" w:type="pct"/>
            <w:vAlign w:val="center"/>
            <w:textDirection w:val="lrTb"/>
            <w:noWrap w:val="false"/>
          </w:tcPr>
          <w:p>
            <w:pPr>
              <w:jc w:val="left"/>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提供拟投入的技术成员（项目负责人除外）情况：</w:t>
            </w:r>
            <w:r/>
          </w:p>
          <w:p>
            <w:pPr>
              <w:jc w:val="left"/>
              <w:spacing w:line="34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1.持有考古发掘领队证书或考古发掘项目负责人岗前培训班结业证明的，每有一人得1分；参加过全国考古调查勘探岗位人员职业技能培训且获得结业证的，每有一人得0.5分，本项最高</w:t>
            </w:r>
            <w:r>
              <w:rPr>
                <w:rFonts w:hint="eastAsia" w:ascii="宋体" w:hAnsi="宋体" w:cs="宋体"/>
                <w:color w:val="auto"/>
                <w:sz w:val="22"/>
                <w:szCs w:val="22"/>
                <w:lang w:val="en-US" w:eastAsia="zh-CN"/>
              </w:rPr>
              <w:t xml:space="preserve">6</w:t>
            </w:r>
            <w:r>
              <w:rPr>
                <w:rFonts w:hint="eastAsia" w:ascii="宋体" w:hAnsi="宋体" w:eastAsia="宋体" w:cs="宋体"/>
                <w:color w:val="auto"/>
                <w:sz w:val="22"/>
                <w:szCs w:val="22"/>
              </w:rPr>
              <w:t xml:space="preserve">分。</w:t>
            </w:r>
            <w:r/>
          </w:p>
          <w:p>
            <w:pPr>
              <w:jc w:val="left"/>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2.具有测绘工程资格证书的，每提供1名得1分，本项最高得 2分。</w:t>
            </w:r>
            <w:r/>
          </w:p>
          <w:p>
            <w:pPr>
              <w:jc w:val="left"/>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注：(测绘工程资格证书指《中华人民共和国注册测绘师》或《测绘作业证书》或《测绘专业技术资格证书》助理工程师、工程师、高级工程师)。</w:t>
            </w:r>
            <w:r/>
          </w:p>
          <w:p>
            <w:pPr>
              <w:jc w:val="left"/>
              <w:spacing w:line="340" w:lineRule="exact"/>
              <w:widowControl/>
              <w:rPr>
                <w:rFonts w:hint="eastAsia" w:ascii="宋体" w:hAnsi="宋体" w:eastAsia="宋体" w:cs="宋体"/>
                <w:color w:val="auto"/>
                <w:sz w:val="22"/>
                <w:szCs w:val="22"/>
              </w:rPr>
            </w:pPr>
            <w:r>
              <w:rPr>
                <w:rFonts w:hint="eastAsia" w:ascii="宋体" w:hAnsi="宋体" w:eastAsia="宋体" w:cs="宋体"/>
                <w:sz w:val="22"/>
                <w:szCs w:val="22"/>
              </w:rPr>
              <w:t xml:space="preserve">上述人员不可重复计分，相关证书或证明复印件加盖供应商公章上传系统，否则不得分。</w:t>
            </w:r>
            <w:r/>
          </w:p>
        </w:tc>
      </w:tr>
      <w:tr>
        <w:trPr>
          <w:jc w:val="center"/>
          <w:trHeight w:val="416"/>
        </w:trPr>
        <w:tc>
          <w:tcPr>
            <w:tcMar>
              <w:left w:w="108" w:type="dxa"/>
              <w:top w:w="0" w:type="dxa"/>
              <w:right w:w="108" w:type="dxa"/>
              <w:bottom w:w="0" w:type="dxa"/>
            </w:tcMar>
            <w:tcW w:w="232" w:type="pct"/>
            <w:vAlign w:val="center"/>
            <w:vMerge w:val="restart"/>
            <w:textDirection w:val="lrTb"/>
            <w:noWrap w:val="false"/>
          </w:tcPr>
          <w:p>
            <w:pPr>
              <w:jc w:val="center"/>
              <w:spacing w:line="312"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3</w:t>
            </w:r>
            <w:r/>
          </w:p>
        </w:tc>
        <w:tc>
          <w:tcPr>
            <w:tcMar>
              <w:left w:w="108" w:type="dxa"/>
              <w:top w:w="0" w:type="dxa"/>
              <w:right w:w="108" w:type="dxa"/>
              <w:bottom w:w="0" w:type="dxa"/>
            </w:tcMar>
            <w:tcW w:w="620" w:type="pct"/>
            <w:vAlign w:val="center"/>
            <w:vMerge w:val="restart"/>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项目实施及服务方案</w:t>
            </w:r>
            <w:r/>
          </w:p>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50</w:t>
            </w:r>
            <w:r>
              <w:rPr>
                <w:rFonts w:hint="eastAsia" w:ascii="宋体" w:hAnsi="宋体" w:eastAsia="宋体" w:cs="宋体"/>
                <w:color w:val="auto"/>
                <w:sz w:val="22"/>
                <w:szCs w:val="22"/>
              </w:rPr>
              <w:t xml:space="preserve">分）</w:t>
            </w:r>
            <w:r/>
          </w:p>
        </w:tc>
        <w:tc>
          <w:tcPr>
            <w:tcMar>
              <w:left w:w="108" w:type="dxa"/>
              <w:top w:w="0" w:type="dxa"/>
              <w:right w:w="108" w:type="dxa"/>
              <w:bottom w:w="0" w:type="dxa"/>
            </w:tcMar>
            <w:tcW w:w="447" w:type="pct"/>
            <w:vAlign w:val="center"/>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27" w:name="OLE_LINK121"/>
            <w:r/>
            <w:bookmarkStart w:id="228" w:name="OLE_LINK120"/>
            <w:r>
              <w:rPr>
                <w:rFonts w:hint="eastAsia" w:ascii="宋体" w:hAnsi="宋体" w:eastAsia="宋体" w:cs="宋体"/>
                <w:color w:val="auto"/>
                <w:sz w:val="22"/>
                <w:szCs w:val="22"/>
              </w:rPr>
              <w:t xml:space="preserve">技术方案</w:t>
            </w:r>
            <w:bookmarkEnd w:id="227"/>
            <w:r/>
            <w:bookmarkEnd w:id="228"/>
            <w:r/>
            <w:r/>
          </w:p>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（10分）</w:t>
            </w:r>
            <w:r/>
          </w:p>
        </w:tc>
        <w:tc>
          <w:tcPr>
            <w:tcMar>
              <w:left w:w="108" w:type="dxa"/>
              <w:top w:w="0" w:type="dxa"/>
              <w:right w:w="108" w:type="dxa"/>
              <w:bottom w:w="0" w:type="dxa"/>
            </w:tcMar>
            <w:tcW w:w="3699" w:type="pct"/>
            <w:vAlign w:val="center"/>
            <w:textDirection w:val="lrTb"/>
            <w:noWrap w:val="false"/>
          </w:tcPr>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29" w:name="OLE_LINK122"/>
            <w:r>
              <w:rPr>
                <w:rFonts w:hint="eastAsia" w:ascii="宋体" w:hAnsi="宋体" w:eastAsia="宋体" w:cs="宋体"/>
                <w:color w:val="auto"/>
                <w:sz w:val="22"/>
                <w:szCs w:val="22"/>
              </w:rPr>
              <w:t xml:space="preserve">根据供应商对招标文件要求进行分析理解并提供总体服务实施方案，包括但不限于实施方案计划、实际情况分析、评估思路、可操作性研究等评审。</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1.方案内容详实、分析准确、思路新颖、可操作性强，得10分；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2.方案满足需求、分析基本准确、思路一般、有一定操作性，得7分；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3.方案内容不完善、分析有偏离、思路陈旧、操作性不强，得4分；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4.方案基本满足最低需求、分析有较大偏离、操作性较差，得1分；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5.无方案或不满足招标文件需求，得0分。</w:t>
            </w:r>
            <w:bookmarkEnd w:id="229"/>
            <w:r/>
            <w:r/>
          </w:p>
        </w:tc>
      </w:tr>
      <w:tr>
        <w:trPr>
          <w:jc w:val="center"/>
          <w:trHeight w:val="714"/>
        </w:trPr>
        <w:tc>
          <w:tcPr>
            <w:tcMar>
              <w:left w:w="108" w:type="dxa"/>
              <w:top w:w="0" w:type="dxa"/>
              <w:right w:w="108" w:type="dxa"/>
              <w:bottom w:w="0" w:type="dxa"/>
            </w:tcMar>
            <w:tcW w:w="232" w:type="pct"/>
            <w:vAlign w:val="center"/>
            <w:vMerge w:val="continue"/>
            <w:textDirection w:val="lrTb"/>
            <w:noWrap w:val="false"/>
          </w:tcPr>
          <w:p>
            <w:pPr>
              <w:jc w:val="center"/>
              <w:spacing w:line="312"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620" w:type="pct"/>
            <w:vAlign w:val="center"/>
            <w:vMerge w:val="continue"/>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447" w:type="pct"/>
            <w:vAlign w:val="center"/>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30" w:name="OLE_LINK123"/>
            <w:r>
              <w:rPr>
                <w:rFonts w:hint="eastAsia" w:ascii="宋体" w:hAnsi="宋体" w:eastAsia="宋体" w:cs="宋体"/>
                <w:color w:val="auto"/>
                <w:sz w:val="22"/>
                <w:szCs w:val="22"/>
              </w:rPr>
              <w:t xml:space="preserve">项目认知</w:t>
            </w:r>
            <w:bookmarkEnd w:id="230"/>
            <w:r>
              <w:rPr>
                <w:rFonts w:hint="eastAsia" w:ascii="宋体" w:hAnsi="宋体" w:eastAsia="宋体" w:cs="宋体"/>
                <w:color w:val="auto"/>
                <w:sz w:val="22"/>
                <w:szCs w:val="22"/>
              </w:rPr>
              <w:t xml:space="preserve">（10分）</w:t>
            </w:r>
            <w:r/>
          </w:p>
        </w:tc>
        <w:tc>
          <w:tcPr>
            <w:tcMar>
              <w:left w:w="108" w:type="dxa"/>
              <w:top w:w="0" w:type="dxa"/>
              <w:right w:w="108" w:type="dxa"/>
              <w:bottom w:w="0" w:type="dxa"/>
            </w:tcMar>
            <w:tcW w:w="3699" w:type="pct"/>
            <w:vAlign w:val="center"/>
            <w:textDirection w:val="lrTb"/>
            <w:noWrap w:val="false"/>
          </w:tcPr>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31" w:name="OLE_LINK39"/>
            <w:r/>
            <w:bookmarkStart w:id="232" w:name="OLE_LINK124"/>
            <w:r>
              <w:rPr>
                <w:rFonts w:hint="eastAsia" w:ascii="宋体" w:hAnsi="宋体" w:eastAsia="宋体" w:cs="宋体"/>
                <w:color w:val="auto"/>
                <w:sz w:val="22"/>
                <w:szCs w:val="22"/>
              </w:rPr>
              <w:t xml:space="preserve">根据供应商对项目基本情况、背景、现状、目标的理解，项目周边文物信息的整体把握等评审。</w:t>
            </w:r>
            <w:bookmarkEnd w:id="231"/>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1.对项目基本情况、背景、现状、目标理解全面，周边文物遗存信息掌握准确，整体把握到位，得10分；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2.对项目基本情况、背景、现状、目标理解较全面，周边文物遗存信息认识基本准确，整体把握较好，得7分；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3.对项目基本情况、背景、现状、目标有一定了解，周边文物遗存信息有初步认知，整体把握一般，得4分；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4.对项目基本情况、背景、现状、目标理解浅显，周边文物遗存信息了解较少，整体把握基本可行，得1分；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5.未提供相关说明，或对项目及周边文物信息完全不了解、把握错误，得0分。</w:t>
            </w:r>
            <w:bookmarkEnd w:id="232"/>
            <w:r/>
            <w:r/>
          </w:p>
        </w:tc>
      </w:tr>
      <w:tr>
        <w:trPr>
          <w:jc w:val="center"/>
          <w:trHeight w:val="836"/>
        </w:trPr>
        <w:tc>
          <w:tcPr>
            <w:tcMar>
              <w:left w:w="108" w:type="dxa"/>
              <w:top w:w="0" w:type="dxa"/>
              <w:right w:w="108" w:type="dxa"/>
              <w:bottom w:w="0" w:type="dxa"/>
            </w:tcMar>
            <w:tcW w:w="232" w:type="pct"/>
            <w:vAlign w:val="center"/>
            <w:vMerge w:val="continue"/>
            <w:textDirection w:val="lrTb"/>
            <w:noWrap w:val="false"/>
          </w:tcPr>
          <w:p>
            <w:pPr>
              <w:jc w:val="center"/>
              <w:spacing w:line="312"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620" w:type="pct"/>
            <w:vAlign w:val="center"/>
            <w:vMerge w:val="continue"/>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447" w:type="pct"/>
            <w:vAlign w:val="center"/>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33" w:name="OLE_LINK125"/>
            <w:r>
              <w:rPr>
                <w:rFonts w:hint="eastAsia" w:ascii="宋体" w:hAnsi="宋体" w:eastAsia="宋体" w:cs="宋体"/>
                <w:color w:val="auto"/>
                <w:sz w:val="22"/>
                <w:szCs w:val="22"/>
              </w:rPr>
              <w:t xml:space="preserve">重大关键问题分析</w:t>
            </w:r>
            <w:bookmarkEnd w:id="233"/>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10</w:t>
            </w:r>
            <w:r>
              <w:rPr>
                <w:rFonts w:hint="eastAsia" w:ascii="宋体" w:hAnsi="宋体" w:eastAsia="宋体" w:cs="宋体"/>
                <w:color w:val="auto"/>
                <w:sz w:val="22"/>
                <w:szCs w:val="22"/>
              </w:rPr>
              <w:t xml:space="preserve">分）</w:t>
            </w:r>
            <w:r/>
          </w:p>
        </w:tc>
        <w:tc>
          <w:tcPr>
            <w:tcMar>
              <w:left w:w="108" w:type="dxa"/>
              <w:top w:w="0" w:type="dxa"/>
              <w:right w:w="108" w:type="dxa"/>
              <w:bottom w:w="0" w:type="dxa"/>
            </w:tcMar>
            <w:tcW w:w="3699" w:type="pct"/>
            <w:vAlign w:val="center"/>
            <w:textDirection w:val="lrTb"/>
            <w:noWrap w:val="false"/>
          </w:tcPr>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34" w:name="OLE_LINK126"/>
            <w:r>
              <w:rPr>
                <w:rFonts w:hint="eastAsia" w:ascii="宋体" w:hAnsi="宋体" w:eastAsia="宋体" w:cs="宋体"/>
                <w:color w:val="auto"/>
                <w:sz w:val="22"/>
                <w:szCs w:val="22"/>
              </w:rPr>
              <w:t xml:space="preserve">根据供应商对招标文件要求提供重大关键问题分析，包括但不限于提出工作中涉及的重大关键问题、对问题的理解认识、提出的解决方案或概念性方案、对策的分析等评审。</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能精准提出本项目相关的关键问题点，对问题点有全面的认识，并对此提供的切实可行的解决方案且对策的分析清晰准确，得</w:t>
            </w:r>
            <w:r>
              <w:rPr>
                <w:rFonts w:hint="eastAsia" w:ascii="宋体" w:hAnsi="宋体" w:cs="宋体"/>
                <w:color w:val="auto"/>
                <w:sz w:val="22"/>
                <w:szCs w:val="22"/>
                <w:lang w:val="en-US" w:eastAsia="zh-CN"/>
              </w:rPr>
              <w:t xml:space="preserve">10</w:t>
            </w:r>
            <w:r>
              <w:rPr>
                <w:rFonts w:hint="eastAsia" w:ascii="宋体" w:hAnsi="宋体" w:eastAsia="宋体" w:cs="宋体"/>
                <w:color w:val="auto"/>
                <w:sz w:val="22"/>
                <w:szCs w:val="22"/>
              </w:rPr>
              <w:t xml:space="preserve">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能精准提出本项目相关的关键问题点，对问题点有全面的认识，但提供的解决方案笼统且对策的分析欠缺，得</w:t>
            </w:r>
            <w:r>
              <w:rPr>
                <w:rFonts w:hint="eastAsia" w:ascii="宋体" w:hAnsi="宋体" w:cs="宋体"/>
                <w:color w:val="auto"/>
                <w:sz w:val="22"/>
                <w:szCs w:val="22"/>
                <w:lang w:val="en-US" w:eastAsia="zh-CN"/>
              </w:rPr>
              <w:t xml:space="preserve">7</w:t>
            </w:r>
            <w:r>
              <w:rPr>
                <w:rFonts w:hint="eastAsia" w:ascii="宋体" w:hAnsi="宋体" w:eastAsia="宋体" w:cs="宋体"/>
                <w:color w:val="auto"/>
                <w:sz w:val="22"/>
                <w:szCs w:val="22"/>
              </w:rPr>
              <w:t xml:space="preserve"> 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能精准提出本项目相关的关键问题点，但对问题点认识浅薄，提供的解决方案笼统且对策的分析欠缺，但承诺通过后期优化能够实现文件要求，得</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没有内容或其情况不满足招标文件需求的</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得0分。</w:t>
            </w:r>
            <w:bookmarkEnd w:id="234"/>
            <w:r/>
            <w:r/>
          </w:p>
        </w:tc>
      </w:tr>
      <w:tr>
        <w:trPr>
          <w:jc w:val="center"/>
          <w:trHeight w:val="836"/>
        </w:trPr>
        <w:tc>
          <w:tcPr>
            <w:tcMar>
              <w:left w:w="108" w:type="dxa"/>
              <w:top w:w="0" w:type="dxa"/>
              <w:right w:w="108" w:type="dxa"/>
              <w:bottom w:w="0" w:type="dxa"/>
            </w:tcMar>
            <w:tcW w:w="232" w:type="pct"/>
            <w:vAlign w:val="center"/>
            <w:vMerge w:val="continue"/>
            <w:textDirection w:val="lrTb"/>
            <w:noWrap w:val="false"/>
          </w:tcPr>
          <w:p>
            <w:pPr>
              <w:jc w:val="center"/>
              <w:spacing w:line="312"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620" w:type="pct"/>
            <w:vAlign w:val="center"/>
            <w:vMerge w:val="continue"/>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447" w:type="pct"/>
            <w:vAlign w:val="center"/>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35" w:name="OLE_LINK127"/>
            <w:r/>
            <w:bookmarkStart w:id="236" w:name="OLE_LINK128"/>
            <w:r>
              <w:rPr>
                <w:rFonts w:hint="eastAsia" w:ascii="宋体" w:hAnsi="宋体" w:eastAsia="宋体" w:cs="宋体"/>
                <w:color w:val="auto"/>
                <w:sz w:val="22"/>
                <w:szCs w:val="22"/>
              </w:rPr>
              <w:t xml:space="preserve">文物保护措施</w:t>
            </w:r>
            <w:bookmarkEnd w:id="235"/>
            <w:r/>
            <w:bookmarkEnd w:id="236"/>
            <w:r>
              <w:rPr>
                <w:rFonts w:hint="eastAsia" w:ascii="宋体" w:hAnsi="宋体" w:eastAsia="宋体" w:cs="宋体"/>
                <w:color w:val="auto"/>
                <w:sz w:val="22"/>
                <w:szCs w:val="22"/>
              </w:rPr>
              <w:t xml:space="preserve">（10分）</w:t>
            </w:r>
            <w:r/>
          </w:p>
        </w:tc>
        <w:tc>
          <w:tcPr>
            <w:tcMar>
              <w:left w:w="108" w:type="dxa"/>
              <w:top w:w="0" w:type="dxa"/>
              <w:right w:w="108" w:type="dxa"/>
              <w:bottom w:w="0" w:type="dxa"/>
            </w:tcMar>
            <w:tcW w:w="3699" w:type="pct"/>
            <w:vAlign w:val="center"/>
            <w:textDirection w:val="lrTb"/>
            <w:noWrap w:val="false"/>
          </w:tcPr>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37" w:name="OLE_LINK2"/>
            <w:r/>
            <w:bookmarkStart w:id="238" w:name="OLE_LINK3"/>
            <w:r/>
            <w:bookmarkStart w:id="239" w:name="OLE_LINK129"/>
            <w:r>
              <w:rPr>
                <w:rFonts w:hint="eastAsia" w:ascii="宋体" w:hAnsi="宋体" w:eastAsia="宋体" w:cs="宋体"/>
                <w:color w:val="auto"/>
                <w:sz w:val="22"/>
                <w:szCs w:val="22"/>
              </w:rPr>
              <w:t xml:space="preserve">根据供应商对本项目要求提供科学合理、全面有深度，响应国家及地方政策的文物保护措施等评审。</w:t>
            </w:r>
            <w:bookmarkEnd w:id="237"/>
            <w:r/>
            <w:bookmarkEnd w:id="238"/>
            <w:r/>
            <w:r/>
          </w:p>
          <w:p>
            <w:pPr>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1.措施全面详尽、针对性极强，实施办法科学完善且配套长效保护机制，完全响应国家及地方文物保护政策，得10分；</w:t>
            </w:r>
            <w:r/>
          </w:p>
          <w:p>
            <w:pPr>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2.措施全面可行、针对性明确，实施办法具体规范，充分契合国家及地方核心政策要求，得7分；</w:t>
            </w:r>
            <w:r/>
          </w:p>
          <w:p>
            <w:pPr>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3.措施较为全面、针对性较强，实施办法基本完善，符合国家及地方基础政策导向，得4分；</w:t>
            </w:r>
            <w:r/>
          </w:p>
          <w:p>
            <w:pPr>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4.措施基本可行、针对性基本明确，能满足最低文物保护需求，部分契合政策要求，得1分；</w:t>
            </w:r>
            <w:r/>
          </w:p>
          <w:p>
            <w:pPr>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5.未提供文物保护措施，或措施与政策严重不符、无实际可操作性，得0分。</w:t>
            </w:r>
            <w:bookmarkEnd w:id="239"/>
            <w:r/>
            <w:r/>
          </w:p>
        </w:tc>
      </w:tr>
      <w:tr>
        <w:trPr>
          <w:jc w:val="center"/>
          <w:trHeight w:val="836"/>
        </w:trPr>
        <w:tc>
          <w:tcPr>
            <w:tcMar>
              <w:left w:w="108" w:type="dxa"/>
              <w:top w:w="0" w:type="dxa"/>
              <w:right w:w="108" w:type="dxa"/>
              <w:bottom w:w="0" w:type="dxa"/>
            </w:tcMar>
            <w:tcW w:w="232" w:type="pct"/>
            <w:vAlign w:val="center"/>
            <w:vMerge w:val="continue"/>
            <w:textDirection w:val="lrTb"/>
            <w:noWrap w:val="false"/>
          </w:tcPr>
          <w:p>
            <w:pPr>
              <w:jc w:val="center"/>
              <w:spacing w:line="312"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620" w:type="pct"/>
            <w:vAlign w:val="center"/>
            <w:vMerge w:val="continue"/>
            <w:textDirection w:val="lrTb"/>
            <w:noWrap w:val="false"/>
          </w:tcPr>
          <w:p>
            <w:pPr>
              <w:jc w:val="center"/>
              <w:spacing w:line="312"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Mar>
              <w:left w:w="108" w:type="dxa"/>
              <w:top w:w="0" w:type="dxa"/>
              <w:right w:w="108" w:type="dxa"/>
              <w:bottom w:w="0" w:type="dxa"/>
            </w:tcMar>
            <w:tcW w:w="447" w:type="pct"/>
            <w:vAlign w:val="center"/>
            <w:textDirection w:val="lrTb"/>
            <w:noWrap w:val="false"/>
          </w:tcPr>
          <w:p>
            <w:pPr>
              <w:jc w:val="cente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40" w:name="OLE_LINK130"/>
            <w:r>
              <w:rPr>
                <w:rFonts w:hint="eastAsia" w:ascii="宋体" w:hAnsi="宋体" w:eastAsia="宋体" w:cs="宋体"/>
                <w:color w:val="auto"/>
                <w:sz w:val="22"/>
                <w:szCs w:val="22"/>
              </w:rPr>
              <w:t xml:space="preserve">突发应急预案</w:t>
            </w:r>
            <w:bookmarkEnd w:id="240"/>
            <w:r>
              <w:rPr>
                <w:rFonts w:hint="eastAsia" w:ascii="宋体" w:hAnsi="宋体" w:eastAsia="宋体" w:cs="宋体"/>
                <w:color w:val="auto"/>
                <w:sz w:val="22"/>
                <w:szCs w:val="22"/>
              </w:rPr>
              <w:t xml:space="preserve">（10分）</w:t>
            </w:r>
            <w:r/>
          </w:p>
        </w:tc>
        <w:tc>
          <w:tcPr>
            <w:tcMar>
              <w:left w:w="108" w:type="dxa"/>
              <w:top w:w="0" w:type="dxa"/>
              <w:right w:w="108" w:type="dxa"/>
              <w:bottom w:w="0" w:type="dxa"/>
            </w:tcMar>
            <w:tcW w:w="3699" w:type="pct"/>
            <w:vAlign w:val="center"/>
            <w:textDirection w:val="lrTb"/>
            <w:noWrap w:val="false"/>
          </w:tcPr>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bookmarkStart w:id="241" w:name="OLE_LINK5"/>
            <w:r/>
            <w:bookmarkStart w:id="242" w:name="OLE_LINK131"/>
            <w:r>
              <w:rPr>
                <w:rFonts w:hint="eastAsia" w:ascii="宋体" w:hAnsi="宋体" w:eastAsia="宋体" w:cs="宋体"/>
                <w:color w:val="auto"/>
                <w:sz w:val="22"/>
                <w:szCs w:val="22"/>
              </w:rPr>
              <w:t xml:space="preserve">根据供应商对本项目要求提供详细合理，具有针对性的突发事件应急预案进行评审。</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1.预案内容全面详尽、针对性极强，涵盖各类突发场景（如文物损坏、安全事故、自然灾害等），应急流程规范清晰、责任到人，配套应急物资清单与演练计划，得10分；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2.预案内容完整可行、针对性明确，覆盖核心突发场景，应急流程合理、责任分工清晰，具备基础应急物资与演练安排，得7分；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3.预案内容较为全面、针对性较强，覆盖主要突发场景，应急流程基本合理，明确核心责任主体，得4分；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4.预案内容基本可行、针对性基本明确，能应对关键突发场景，应急流程简单清晰，得1分；</w:t>
            </w:r>
            <w:r/>
          </w:p>
          <w:p>
            <w:pPr>
              <w:spacing w:line="24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5.未提供应急预案，或预案内容与项目实际脱节、无针对性、不具备可操作性，得0分。</w:t>
            </w:r>
            <w:bookmarkEnd w:id="241"/>
            <w:r/>
            <w:bookmarkEnd w:id="242"/>
            <w:r/>
            <w:r/>
          </w:p>
        </w:tc>
      </w:tr>
    </w:tbl>
    <w:p>
      <w:pPr>
        <w:ind w:firstLine="480"/>
        <w:spacing w:line="4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评标采用综合评分法，评标委员会对满足招标文件实质要求的投标文件，按照本章规定的评分标准进行打分，并按得分由高到低顺序推荐中标候选人。</w:t>
      </w:r>
      <w:r>
        <w:rPr>
          <w:rFonts w:asciiTheme="minorEastAsia" w:hAnsiTheme="minorEastAsia" w:eastAsiaTheme="minorEastAsia"/>
          <w:b/>
          <w:color w:val="000000" w:themeColor="text1"/>
          <w:sz w:val="24"/>
          <w:szCs w:val="24"/>
          <w14:textFill>
            <w14:solidFill>
              <w14:schemeClr w14:val="tx1"/>
            </w14:solidFill>
          </w14:textFill>
        </w:rPr>
        <w:t xml:space="preserve">采购人将对第一中标候选人提交的所有资料</w:t>
      </w:r>
      <w:r>
        <w:rPr>
          <w:rFonts w:hint="eastAsia" w:asciiTheme="minorEastAsia" w:hAnsiTheme="minorEastAsia" w:eastAsiaTheme="minorEastAsia"/>
          <w:b/>
          <w:color w:val="000000" w:themeColor="text1"/>
          <w:sz w:val="24"/>
          <w:szCs w:val="24"/>
          <w14:textFill>
            <w14:solidFill>
              <w14:schemeClr w14:val="tx1"/>
            </w14:solidFill>
          </w14:textFill>
        </w:rPr>
        <w:t xml:space="preserve">的真实性</w:t>
      </w:r>
      <w:r>
        <w:rPr>
          <w:rFonts w:asciiTheme="minorEastAsia" w:hAnsiTheme="minorEastAsia" w:eastAsiaTheme="minorEastAsia"/>
          <w:b/>
          <w:color w:val="000000" w:themeColor="text1"/>
          <w:sz w:val="24"/>
          <w:szCs w:val="24"/>
          <w14:textFill>
            <w14:solidFill>
              <w14:schemeClr w14:val="tx1"/>
            </w14:solidFill>
          </w14:textFill>
        </w:rPr>
        <w:t xml:space="preserve">进行考察、核实，若发现弄虚作假的，取消中标资格，并进行公示等相关处罚。</w:t>
      </w:r>
      <w:r/>
    </w:p>
    <w:p>
      <w:pPr>
        <w:ind w:firstLine="562"/>
        <w:jc w:val="left"/>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1.资格审查</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1.1项目开标结束后，采购人对投标人的资格进行审查。</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1.2资格审查的内容和标准：见资格审查和评标办法前附表。</w:t>
      </w:r>
      <w:r/>
    </w:p>
    <w:p>
      <w:pPr>
        <w:ind w:firstLine="562"/>
        <w:jc w:val="left"/>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评标</w:t>
      </w:r>
      <w:bookmarkEnd w:id="202"/>
      <w:r/>
      <w:r/>
    </w:p>
    <w:p>
      <w:pPr>
        <w:ind w:firstLine="562"/>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2.1评标方法</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评标采用综合评分法，评标委员会对满足招标文件实质要求的投标文件，按照本章规定的程序和方法进行评审，并按总得分由高到低顺序推荐中标候选人。</w:t>
      </w:r>
      <w:r/>
    </w:p>
    <w:p>
      <w:pPr>
        <w:ind w:firstLine="562"/>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2.2初步评审</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2.2.1评标委员会对通过资格审查的投标人进行初步评审。</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2.2.2初步评审的内容为投标文件的符合性评审。符合性评审的内容及标准：见资格审查和评标办法前附表。</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2.3详细评审</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2.3.1评标委员会对通过初步评审的投标人进行详细评审。</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2.3.2详细评审的内容及标准：见资格审查和评标办法前附表。</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2.3.3因落实政府采购政策进行价格调整的，以调整后的价格计算评标基准价和投标报价。</w:t>
      </w:r>
      <w:r/>
    </w:p>
    <w:p>
      <w:pPr>
        <w:ind w:firstLine="562"/>
        <w:spacing w:line="500" w:lineRule="exact"/>
        <w:rPr>
          <w:rFonts w:asciiTheme="minorEastAsia" w:hAnsiTheme="minorEastAsia" w:eastAsiaTheme="minorEastAsia"/>
          <w:b/>
          <w:sz w:val="24"/>
          <w:szCs w:val="24"/>
        </w:rPr>
      </w:pPr>
      <w:r/>
      <w:bookmarkStart w:id="243" w:name="_Toc426469924"/>
      <w:r>
        <w:rPr>
          <w:rFonts w:hint="eastAsia" w:asciiTheme="minorEastAsia" w:hAnsiTheme="minorEastAsia" w:eastAsiaTheme="minorEastAsia"/>
          <w:b/>
          <w:sz w:val="24"/>
          <w:szCs w:val="24"/>
        </w:rPr>
        <w:t xml:space="preserve">2.4</w:t>
      </w:r>
      <w:r>
        <w:rPr>
          <w:rFonts w:hint="eastAsia" w:cs="宋体" w:asciiTheme="minorEastAsia" w:hAnsiTheme="minorEastAsia" w:eastAsiaTheme="minorEastAsia"/>
          <w:b/>
          <w:sz w:val="24"/>
          <w:szCs w:val="24"/>
        </w:rPr>
        <w:t xml:space="preserve">评标报告</w:t>
      </w:r>
      <w:r/>
    </w:p>
    <w:p>
      <w:pPr>
        <w:ind w:firstLine="480"/>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.1详细评审结束后，</w:t>
      </w:r>
      <w:r>
        <w:rPr>
          <w:rFonts w:hint="eastAsia" w:asciiTheme="minorEastAsia" w:hAnsiTheme="minorEastAsia" w:eastAsiaTheme="minorEastAsia"/>
          <w:sz w:val="24"/>
          <w:szCs w:val="24"/>
        </w:rPr>
        <w:t xml:space="preserve">评标委员会负责编写评标报告。</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2.4.2采购代理机构自评审结束之日起2个工作日内将评标报告送交采购人。</w:t>
      </w:r>
      <w:r/>
    </w:p>
    <w:p>
      <w:pPr>
        <w:ind w:firstLine="562"/>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2.5</w:t>
      </w:r>
      <w:r>
        <w:rPr>
          <w:rFonts w:hint="eastAsia" w:cs="宋体" w:asciiTheme="minorEastAsia" w:hAnsiTheme="minorEastAsia" w:eastAsiaTheme="minorEastAsia"/>
          <w:b/>
          <w:sz w:val="24"/>
          <w:szCs w:val="24"/>
        </w:rPr>
        <w:t xml:space="preserve">澄清、说明或补正</w:t>
      </w:r>
      <w:r/>
    </w:p>
    <w:p>
      <w:pPr>
        <w:ind w:firstLine="480"/>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评标委员会在评审过程中，可以要求投标人对投标文件中含义不明确、同类问题表述不一致或者有明显文字和计算错误的内容等作出必要的澄清、说明或者更正。</w:t>
      </w:r>
      <w:r/>
    </w:p>
    <w:p>
      <w:pPr>
        <w:ind w:firstLine="480"/>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评标委员会要求投标人澄清、说明或者更正投标文件应当以书面形式作出。</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2.5.3投标人的澄清、说明或者更正应当由法定代表人或其授权代表签字或者加盖公章。由授权代表签字的，应当附法定代表人授权书。投标人的书面澄清材料作为投标文件的补充。</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2.5.4投标人的澄清、说明或者更正不得超出投标文件的范围或者改变投标文件的实质性内容。</w:t>
      </w:r>
      <w:r/>
    </w:p>
    <w:p>
      <w:pPr>
        <w:ind w:firstLine="480"/>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5评标委员会不得接受投标人主动提出的澄清、说明或补正。</w:t>
      </w:r>
      <w:r/>
    </w:p>
    <w:p>
      <w:pPr>
        <w:ind w:firstLine="562"/>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3.评标过程中特殊情况的处理规定</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3.1投标报价的修正</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投标文件报价出现前后不一致的，按照下列规定修正： </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（1）投标文件中开标一览表内容与投标文件中相应内容不一致的，以开标一览表为准； </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（2）大写金额和小写金额不一致的，以大写金额为准； </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（3）单价金额小数点或者百分比有明显错位的，以开标一览表的总价为准，并修改单价； </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（4）总价金额与按单价汇总金额不一致的，以单价金额计算结果为准。 </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同时出现两种以上不一致的，按照前款规定的顺序修正。修正后的报价按照本章第2.5条的规定经投标人确认后产生约束力，投标人不确认的，其投标无效。</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3.2评标委员会成员的更换</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3.2.1评标过程中，因评标委员会成员缺席、回避或者健康等特殊原因导致评标委员会组成不符合规定的，采购人将依法补足后继续评标。被更换的评标委员会成员所作出的评标意见无效。 </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3.2.2无法及时补足评标委员会成员的，采购人将停止评标活动，封存所有投标文件和开标、评标资料，依法重新组建评标委员会进行评标。原评标委员会所作出的评标意见无效。</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3.3异常低价的处理</w:t>
      </w:r>
      <w:r/>
    </w:p>
    <w:p>
      <w:pPr>
        <w:ind w:firstLine="480"/>
        <w:spacing w:line="480" w:lineRule="exact"/>
        <w:rPr>
          <w:rFonts w:ascii="宋体" w:hAnsi="宋体"/>
          <w:b/>
          <w:bCs/>
          <w:color w:val="ff0000"/>
          <w:sz w:val="22"/>
          <w:szCs w:val="22"/>
        </w:rPr>
      </w:pPr>
      <w:r>
        <w:rPr>
          <w:rFonts w:hint="eastAsia" w:ascii="宋体" w:hAnsi="宋体"/>
          <w:b/>
          <w:bCs/>
          <w:color w:val="ff0000"/>
          <w:sz w:val="22"/>
          <w:szCs w:val="22"/>
        </w:rPr>
        <w:t xml:space="preserve">3.3.1</w:t>
      </w:r>
      <w:r>
        <w:rPr>
          <w:rFonts w:ascii="宋体" w:hAnsi="宋体"/>
          <w:b/>
          <w:bCs/>
          <w:color w:val="ff0000"/>
          <w:sz w:val="22"/>
          <w:szCs w:val="22"/>
        </w:rPr>
        <w:t xml:space="preserve">评审过程中出现下列情形之一的，评审委员会应当启动异常低价投标（响应）审查程序： </w:t>
      </w:r>
      <w:r/>
    </w:p>
    <w:p>
      <w:pPr>
        <w:ind w:firstLine="480"/>
        <w:spacing w:line="480" w:lineRule="exact"/>
        <w:rPr>
          <w:rFonts w:ascii="宋体" w:hAnsi="宋体"/>
          <w:b/>
          <w:bCs/>
          <w:color w:val="ff0000"/>
          <w:sz w:val="22"/>
          <w:szCs w:val="22"/>
        </w:rPr>
      </w:pPr>
      <w:r>
        <w:rPr>
          <w:rFonts w:hint="eastAsia" w:ascii="宋体" w:hAnsi="宋体"/>
          <w:b/>
          <w:bCs/>
          <w:color w:val="ff0000"/>
          <w:sz w:val="22"/>
          <w:szCs w:val="22"/>
        </w:rPr>
        <w:t xml:space="preserve">（1）</w:t>
      </w:r>
      <w:r>
        <w:rPr>
          <w:rFonts w:ascii="宋体" w:hAnsi="宋体"/>
          <w:b/>
          <w:bCs/>
          <w:color w:val="ff0000"/>
          <w:sz w:val="22"/>
          <w:szCs w:val="22"/>
        </w:rPr>
        <w:t xml:space="preserve">投标（响应）报价低于采购项目预算 50% 的，即投标（响应）报价&lt;采购项目预算×50% ； </w:t>
      </w:r>
      <w:r/>
    </w:p>
    <w:p>
      <w:pPr>
        <w:ind w:firstLine="480"/>
        <w:spacing w:line="480" w:lineRule="exact"/>
        <w:rPr>
          <w:rFonts w:ascii="宋体" w:hAnsi="宋体"/>
          <w:b/>
          <w:bCs/>
          <w:color w:val="ff0000"/>
          <w:sz w:val="22"/>
          <w:szCs w:val="22"/>
        </w:rPr>
      </w:pPr>
      <w:r>
        <w:rPr>
          <w:rFonts w:hint="eastAsia" w:ascii="宋体" w:hAnsi="宋体"/>
          <w:b/>
          <w:bCs/>
          <w:color w:val="ff0000"/>
          <w:sz w:val="22"/>
          <w:szCs w:val="22"/>
        </w:rPr>
        <w:t xml:space="preserve">（2）</w:t>
      </w:r>
      <w:r>
        <w:rPr>
          <w:rFonts w:ascii="宋体" w:hAnsi="宋体"/>
          <w:b/>
          <w:bCs/>
          <w:color w:val="ff0000"/>
          <w:sz w:val="22"/>
          <w:szCs w:val="22"/>
        </w:rPr>
        <w:t xml:space="preserve">投标（响应）报价低于采购项目最高限价 45% 的，即投标（响应）报价&lt;采购项目最高限价×45% ； </w:t>
      </w:r>
      <w:r/>
    </w:p>
    <w:p>
      <w:pPr>
        <w:ind w:firstLine="480"/>
        <w:spacing w:line="480" w:lineRule="exact"/>
        <w:rPr>
          <w:rFonts w:ascii="宋体" w:hAnsi="宋体"/>
          <w:b/>
          <w:bCs/>
          <w:color w:val="ff0000"/>
          <w:sz w:val="22"/>
          <w:szCs w:val="22"/>
        </w:rPr>
      </w:pPr>
      <w:r>
        <w:rPr>
          <w:rFonts w:hint="eastAsia" w:ascii="宋体" w:hAnsi="宋体"/>
          <w:b/>
          <w:bCs/>
          <w:color w:val="ff0000"/>
          <w:sz w:val="22"/>
          <w:szCs w:val="22"/>
        </w:rPr>
        <w:t xml:space="preserve">（3）</w:t>
      </w:r>
      <w:r>
        <w:rPr>
          <w:rFonts w:ascii="宋体" w:hAnsi="宋体"/>
          <w:b/>
          <w:bCs/>
          <w:color w:val="ff0000"/>
          <w:sz w:val="22"/>
          <w:szCs w:val="22"/>
        </w:rPr>
        <w:t xml:space="preserve">评审委员会认定的供应商报价过低、有可能影响产品质量或者不能诚信履约的其他情形。 </w:t>
      </w:r>
      <w:r/>
    </w:p>
    <w:p>
      <w:pPr>
        <w:ind w:firstLine="482"/>
        <w:spacing w:line="480" w:lineRule="exact"/>
        <w:rPr>
          <w:rFonts w:ascii="宋体" w:hAnsi="宋体"/>
          <w:b/>
          <w:bCs/>
          <w:color w:val="ff0000"/>
          <w:sz w:val="22"/>
          <w:szCs w:val="22"/>
        </w:rPr>
      </w:pPr>
      <w:r>
        <w:rPr>
          <w:rFonts w:hint="eastAsia" w:ascii="宋体" w:hAnsi="宋体"/>
          <w:b/>
          <w:bCs/>
          <w:color w:val="ff0000"/>
          <w:sz w:val="22"/>
          <w:szCs w:val="22"/>
        </w:rPr>
        <w:t xml:space="preserve">3.3.2</w:t>
      </w:r>
      <w:r>
        <w:rPr>
          <w:rFonts w:ascii="宋体" w:hAnsi="宋体"/>
          <w:b/>
          <w:bCs/>
          <w:color w:val="ff0000"/>
          <w:sz w:val="22"/>
          <w:szCs w:val="22"/>
        </w:rPr>
        <w:t xml:space="preserve">启动异常低价投标（响应）审查后，</w:t>
      </w:r>
      <w:r>
        <w:rPr>
          <w:rFonts w:hint="eastAsia" w:ascii="宋体" w:hAnsi="宋体"/>
          <w:b/>
          <w:bCs/>
          <w:color w:val="ff0000"/>
          <w:sz w:val="22"/>
          <w:szCs w:val="22"/>
        </w:rPr>
        <w:t xml:space="preserve">评审委员会</w:t>
      </w:r>
      <w:r>
        <w:rPr>
          <w:rFonts w:ascii="宋体" w:hAnsi="宋体"/>
          <w:b/>
          <w:bCs/>
          <w:color w:val="ff0000"/>
          <w:sz w:val="22"/>
          <w:szCs w:val="22"/>
        </w:rPr>
        <w:t xml:space="preserve">应当要求相关供应商在评标现场合理的时间内，提供项目具体成本测算等与报价合理性相关的书面说明及相关证明材料，对投标（响应）价格作出解释，由</w:t>
      </w:r>
      <w:r>
        <w:rPr>
          <w:rFonts w:hint="eastAsia" w:ascii="宋体" w:hAnsi="宋体"/>
          <w:b/>
          <w:bCs/>
          <w:color w:val="ff0000"/>
          <w:sz w:val="22"/>
          <w:szCs w:val="22"/>
        </w:rPr>
        <w:t xml:space="preserve">评审委员会</w:t>
      </w:r>
      <w:r>
        <w:rPr>
          <w:rFonts w:ascii="宋体" w:hAnsi="宋体"/>
          <w:b/>
          <w:bCs/>
          <w:color w:val="ff0000"/>
          <w:sz w:val="22"/>
          <w:szCs w:val="22"/>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
          <w:bCs/>
          <w:color w:val="ff0000"/>
          <w:sz w:val="22"/>
          <w:szCs w:val="22"/>
        </w:rPr>
        <w:t xml:space="preserve">评审委员会</w:t>
      </w:r>
      <w:r>
        <w:rPr>
          <w:rFonts w:ascii="宋体" w:hAnsi="宋体"/>
          <w:b/>
          <w:bCs/>
          <w:color w:val="ff0000"/>
          <w:sz w:val="22"/>
          <w:szCs w:val="22"/>
        </w:rPr>
        <w:t xml:space="preserve">应当将其作为无效投标（响应）处理。审查相关情况应当在评审报告中进行记录。</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3.4争议解决</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评标委员会成员对需要共同认定的事项存在争议的，按照少数服从多数的原则作出结论。持不同意见的评标委员会成员须在评标报告上签署不同意见及理由。</w:t>
      </w:r>
      <w:r/>
    </w:p>
    <w:p>
      <w:pPr>
        <w:ind w:firstLine="562"/>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3.5评标终止</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标委员会发现招标文件存在歧义、重大缺陷导致评标工作无法进行，或者招标文件内容违反国家有关强制性规定的，应当停止评标工作，与采购人或者采购代理机构沟通并作书面记录。采购人确认后，终止评标活动。</w:t>
      </w:r>
      <w:r/>
    </w:p>
    <w:p>
      <w:pPr>
        <w:ind w:firstLine="562"/>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3.6修改评标结果</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评审组长负责汇总和核对各评标委员会成员的评审结果。在评标报告签署前，出现下列情形之一的，可以要求其当场修改评审结果：</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）分值汇总计算错误；</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）分项评分超出评分标准范围；</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）评标委员会成员对客观评审因素评分不一致；</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）经评标委员会认定评分畸高或畸低。</w:t>
      </w:r>
      <w:r/>
    </w:p>
    <w:p>
      <w:pPr>
        <w:ind w:firstLine="562"/>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3.7 投标人总分相同</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投标人总分相同时，投标总价低的排名优先；如投标总价也相同，由采购人抽签确定排序。</w:t>
      </w:r>
      <w:r/>
    </w:p>
    <w:p>
      <w:pPr>
        <w:ind w:firstLine="562"/>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3.8评标报告签署</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4.判定无效投标的规定</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4.1开标过程中，有下列情形之一的，作无效投标处理。</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（1）投标文件无法解密；</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（2）投标文件未在规定的时间内解密成功。</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4.2资格审查过程中，投标文件出现不符合1.2项评审标准之一的，作无效标处理。</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4.3评标过程中，有下列情形之一的，作无效投标处理。</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（1）符合性评审时，投标文件出现不符合</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2.2项评审标准之一的；</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（2）投标人不确认评标委员会提出的投标报价修正意见的；</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（3）未按照评标委员会要求提供书面说明及相关证明材料证明其报价合理性的；</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（4）投标文件含有采购人不能接受的附加条件的。</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4.4法律、法规规定的其他投标无效情形。</w:t>
      </w:r>
      <w:bookmarkEnd w:id="243"/>
      <w:r/>
      <w:r/>
    </w:p>
    <w:p>
      <w:pPr>
        <w:ind w:left="646"/>
        <w:jc w:val="center"/>
        <w:spacing w:line="520" w:lineRule="exact"/>
        <w:tabs>
          <w:tab w:val="left" w:pos="3240" w:leader="none"/>
        </w:tabs>
        <w:rPr>
          <w:rFonts w:asciiTheme="minorEastAsia" w:hAnsiTheme="minorEastAsia" w:eastAsiaTheme="minorEastAsia"/>
          <w:b/>
          <w:bCs/>
          <w:sz w:val="32"/>
          <w:szCs w:val="32"/>
        </w:rPr>
        <w:outlineLvl w:val="0"/>
      </w:pPr>
      <w:r>
        <w:rPr>
          <w:rFonts w:asciiTheme="minorEastAsia" w:hAnsiTheme="minorEastAsia" w:eastAsiaTheme="minorEastAsia"/>
          <w:b/>
          <w:bCs/>
          <w:sz w:val="30"/>
          <w:szCs w:val="30"/>
        </w:rPr>
        <w:br w:type="page" w:clear="all"/>
      </w:r>
      <w:r>
        <w:rPr>
          <w:rFonts w:hint="eastAsia" w:asciiTheme="minorEastAsia" w:hAnsiTheme="minorEastAsia" w:eastAsiaTheme="minorEastAsia"/>
          <w:b/>
          <w:bCs/>
          <w:sz w:val="32"/>
          <w:szCs w:val="32"/>
        </w:rPr>
        <w:t xml:space="preserve">第四章  合同条款及格式</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jc w:val="center"/>
        <w:spacing w:line="360" w:lineRule="auto"/>
        <w:shd w:val="clear" w:color="auto" w:fill="ffffff"/>
        <w:rPr>
          <w:rFonts w:hint="eastAsia" w:ascii="宋体" w:hAnsi="宋体" w:cs="宋体"/>
          <w:b/>
          <w:bCs/>
          <w:sz w:val="52"/>
          <w:szCs w:val="52"/>
        </w:rPr>
      </w:pPr>
      <w:r/>
      <w:bookmarkStart w:id="244" w:name="_Toc426469930"/>
      <w:r/>
      <w:bookmarkStart w:id="245" w:name="OLE_LINK4"/>
      <w:r/>
      <w:bookmarkStart w:id="246" w:name="_Toc26554093"/>
      <w:r/>
      <w:bookmarkStart w:id="247" w:name="_Toc120614281"/>
      <w:r/>
      <w:bookmarkStart w:id="248" w:name="_Toc49090575"/>
      <w:r/>
      <w:bookmarkStart w:id="249" w:name="_Toc282446330"/>
      <w:r/>
      <w:bookmarkStart w:id="250" w:name="_Toc462564139"/>
      <w:r/>
      <w:bookmarkStart w:id="251" w:name="_Toc479757211"/>
      <w:r/>
      <w:r/>
    </w:p>
    <w:p>
      <w:pPr>
        <w:jc w:val="center"/>
        <w:spacing w:line="360" w:lineRule="auto"/>
        <w:shd w:val="clear" w:color="auto" w:fill="ffffff"/>
        <w:rPr>
          <w:rFonts w:ascii="宋体" w:hAnsi="宋体" w:cs="宋体"/>
          <w:b/>
          <w:bCs/>
          <w:sz w:val="52"/>
          <w:szCs w:val="52"/>
        </w:rPr>
      </w:pPr>
      <w:r>
        <w:rPr>
          <w:rFonts w:hint="eastAsia" w:ascii="宋体" w:hAnsi="宋体" w:cs="宋体"/>
          <w:b/>
          <w:bCs/>
          <w:sz w:val="52"/>
          <w:szCs w:val="52"/>
        </w:rPr>
        <w:t xml:space="preserve">采 购 合 同</w:t>
      </w:r>
      <w:r/>
    </w:p>
    <w:p>
      <w:pPr>
        <w:ind w:firstLine="315"/>
        <w:spacing w:line="360" w:lineRule="auto"/>
        <w:shd w:val="clear" w:color="auto" w:fill="ffffff"/>
        <w:rPr>
          <w:rFonts w:ascii="宋体" w:hAnsi="宋体" w:cs="宋体"/>
          <w:b/>
          <w:bCs/>
          <w:sz w:val="36"/>
          <w:szCs w:val="36"/>
        </w:rPr>
      </w:pPr>
      <w:r>
        <w:rPr>
          <w:rFonts w:ascii="宋体" w:hAnsi="宋体" w:cs="宋体"/>
          <w:b/>
          <w:bCs/>
          <w:sz w:val="36"/>
          <w:szCs w:val="36"/>
        </w:rPr>
      </w:r>
      <w:r/>
    </w:p>
    <w:p>
      <w:pPr>
        <w:ind w:firstLine="315"/>
        <w:spacing w:line="360" w:lineRule="auto"/>
        <w:shd w:val="clear" w:color="auto" w:fill="ffffff"/>
        <w:rPr>
          <w:rFonts w:ascii="宋体" w:hAnsi="宋体" w:cs="宋体"/>
          <w:b/>
          <w:bCs/>
          <w:sz w:val="36"/>
          <w:szCs w:val="36"/>
        </w:rPr>
      </w:pPr>
      <w:r>
        <w:rPr>
          <w:rFonts w:hint="eastAsia" w:ascii="宋体" w:hAnsi="宋体" w:cs="宋体"/>
          <w:b/>
          <w:bCs/>
          <w:sz w:val="36"/>
          <w:szCs w:val="36"/>
        </w:rPr>
        <w:t xml:space="preserve"> </w:t>
      </w:r>
      <w:r/>
    </w:p>
    <w:p>
      <w:pPr>
        <w:spacing w:line="360" w:lineRule="auto"/>
        <w:shd w:val="clear" w:color="auto" w:fill="ffffff"/>
        <w:rPr>
          <w:rFonts w:ascii="宋体" w:hAnsi="宋体" w:cs="宋体"/>
          <w:sz w:val="32"/>
          <w:szCs w:val="32"/>
        </w:rPr>
      </w:pPr>
      <w:r>
        <w:rPr>
          <w:rFonts w:ascii="宋体" w:hAnsi="宋体" w:cs="宋体"/>
          <w:sz w:val="32"/>
          <w:szCs w:val="32"/>
        </w:rPr>
      </w:r>
      <w:r/>
    </w:p>
    <w:p>
      <w:pPr>
        <w:ind w:firstLine="1918"/>
        <w:spacing w:line="360" w:lineRule="auto"/>
        <w:shd w:val="clear" w:color="auto" w:fill="ffffff"/>
        <w:rPr>
          <w:rFonts w:ascii="宋体" w:hAnsi="宋体" w:cs="宋体"/>
          <w:sz w:val="32"/>
          <w:szCs w:val="32"/>
        </w:rPr>
      </w:pPr>
      <w:r>
        <w:rPr>
          <w:rFonts w:hint="eastAsia" w:ascii="宋体" w:hAnsi="宋体" w:cs="宋体"/>
          <w:b/>
          <w:bCs/>
          <w:sz w:val="32"/>
          <w:szCs w:val="32"/>
        </w:rPr>
        <w:t xml:space="preserve">合   同   编   号：</w:t>
      </w:r>
      <w:r>
        <w:rPr>
          <w:rFonts w:hint="eastAsia" w:ascii="宋体" w:hAnsi="宋体" w:cs="宋体"/>
          <w:b/>
          <w:bCs/>
          <w:sz w:val="32"/>
          <w:szCs w:val="32"/>
          <w:u w:val="single"/>
        </w:rPr>
        <w:t xml:space="preserve">          </w:t>
      </w:r>
      <w:r/>
    </w:p>
    <w:p>
      <w:pPr>
        <w:ind w:firstLine="1918"/>
        <w:spacing w:line="360" w:lineRule="auto"/>
        <w:shd w:val="clear" w:color="auto" w:fill="ffffff"/>
        <w:rPr>
          <w:rFonts w:ascii="宋体" w:hAnsi="宋体" w:cs="宋体"/>
          <w:sz w:val="32"/>
          <w:szCs w:val="32"/>
        </w:rPr>
      </w:pPr>
      <w:r>
        <w:rPr>
          <w:rFonts w:hint="eastAsia" w:ascii="宋体" w:hAnsi="宋体" w:cs="宋体"/>
          <w:b/>
          <w:bCs/>
          <w:sz w:val="32"/>
          <w:szCs w:val="32"/>
        </w:rPr>
        <w:t xml:space="preserve">项   目   名   称：</w:t>
      </w:r>
      <w:r>
        <w:rPr>
          <w:rFonts w:hint="eastAsia" w:ascii="宋体" w:hAnsi="宋体" w:cs="宋体"/>
          <w:b/>
          <w:bCs/>
          <w:sz w:val="32"/>
          <w:szCs w:val="32"/>
          <w:u w:val="single"/>
        </w:rPr>
        <w:t xml:space="preserve">          </w:t>
      </w:r>
      <w:r/>
    </w:p>
    <w:p>
      <w:pPr>
        <w:ind w:firstLine="1918"/>
        <w:spacing w:line="360" w:lineRule="auto"/>
        <w:shd w:val="clear" w:color="auto" w:fill="ffffff"/>
        <w:rPr>
          <w:rFonts w:ascii="宋体" w:hAnsi="宋体" w:cs="宋体"/>
          <w:sz w:val="32"/>
          <w:szCs w:val="32"/>
        </w:rPr>
      </w:pPr>
      <w:r/>
      <w:bookmarkStart w:id="252" w:name="_Hlk164774502"/>
      <w:r>
        <w:rPr>
          <w:rFonts w:hint="eastAsia" w:ascii="宋体" w:hAnsi="宋体" w:cs="宋体"/>
          <w:b/>
          <w:bCs/>
          <w:sz w:val="32"/>
          <w:szCs w:val="32"/>
        </w:rPr>
        <w:t xml:space="preserve">采 购 人 （甲方）：</w:t>
      </w:r>
      <w:r>
        <w:rPr>
          <w:rFonts w:hint="eastAsia" w:ascii="宋体" w:hAnsi="宋体" w:cs="宋体"/>
          <w:b/>
          <w:bCs/>
          <w:sz w:val="32"/>
          <w:szCs w:val="32"/>
          <w:u w:val="single"/>
        </w:rPr>
        <w:t xml:space="preserve">               </w:t>
      </w:r>
      <w:r/>
    </w:p>
    <w:p>
      <w:pPr>
        <w:ind w:firstLine="1916"/>
        <w:spacing w:line="360" w:lineRule="auto"/>
        <w:shd w:val="clear" w:color="auto" w:fill="ffffff"/>
        <w:rPr>
          <w:rFonts w:ascii="宋体" w:hAnsi="宋体" w:cs="宋体"/>
          <w:sz w:val="32"/>
          <w:szCs w:val="32"/>
        </w:rPr>
      </w:pPr>
      <w:r>
        <w:rPr>
          <w:rFonts w:hint="eastAsia" w:ascii="宋体" w:hAnsi="宋体" w:cs="宋体"/>
          <w:b/>
          <w:bCs/>
          <w:sz w:val="32"/>
          <w:szCs w:val="32"/>
        </w:rPr>
        <w:t xml:space="preserve">中 标 人 （乙方）：</w:t>
      </w:r>
      <w:r>
        <w:rPr>
          <w:rFonts w:hint="eastAsia" w:ascii="宋体" w:hAnsi="宋体" w:cs="宋体"/>
          <w:b/>
          <w:bCs/>
          <w:sz w:val="32"/>
          <w:szCs w:val="32"/>
          <w:u w:val="single"/>
        </w:rPr>
        <w:t xml:space="preserve">            </w:t>
      </w:r>
      <w:bookmarkEnd w:id="252"/>
      <w:r/>
      <w:r/>
    </w:p>
    <w:p>
      <w:pPr>
        <w:ind w:firstLine="1916"/>
        <w:spacing w:line="360" w:lineRule="auto"/>
        <w:shd w:val="clear" w:color="auto" w:fill="ffffff"/>
        <w:rPr>
          <w:rFonts w:ascii="宋体" w:hAnsi="宋体" w:cs="宋体"/>
          <w:sz w:val="32"/>
          <w:szCs w:val="32"/>
        </w:rPr>
      </w:pPr>
      <w:r>
        <w:rPr>
          <w:rFonts w:hint="eastAsia" w:ascii="宋体" w:hAnsi="宋体" w:cs="宋体"/>
          <w:b/>
          <w:bCs/>
          <w:sz w:val="32"/>
          <w:szCs w:val="32"/>
        </w:rPr>
        <w:t xml:space="preserve">签   订   日   期：</w:t>
      </w:r>
      <w:r>
        <w:rPr>
          <w:rFonts w:hint="eastAsia" w:ascii="宋体" w:hAnsi="宋体" w:cs="宋体"/>
          <w:b/>
          <w:bCs/>
          <w:sz w:val="32"/>
          <w:szCs w:val="32"/>
          <w:u w:val="single"/>
        </w:rPr>
        <w:t xml:space="preserve">          </w:t>
      </w:r>
      <w:r/>
    </w:p>
    <w:p>
      <w:pPr>
        <w:spacing w:line="360" w:lineRule="auto"/>
        <w:shd w:val="clear" w:color="auto" w:fill="ffffff"/>
        <w:rPr>
          <w:rFonts w:ascii="宋体" w:hAnsi="宋体" w:cs="宋体"/>
          <w:b/>
          <w:bCs/>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p>
    <w:p>
      <w:pPr>
        <w:jc w:val="left"/>
        <w:widowControl/>
        <w:rPr>
          <w:rFonts w:ascii="宋体" w:hAnsi="宋体" w:cs="宋体"/>
          <w:b/>
          <w:bCs/>
          <w:sz w:val="32"/>
          <w:szCs w:val="32"/>
        </w:rPr>
      </w:pPr>
      <w:r>
        <w:rPr>
          <w:rFonts w:ascii="宋体" w:hAnsi="宋体" w:cs="宋体"/>
          <w:b/>
          <w:bCs/>
          <w:sz w:val="32"/>
          <w:szCs w:val="32"/>
        </w:rPr>
        <w:br w:type="page" w:clear="all"/>
      </w:r>
      <w:bookmarkEnd w:id="244"/>
      <w:r/>
      <w:bookmarkEnd w:id="245"/>
      <w:r/>
      <w:r/>
    </w:p>
    <w:p>
      <w:pPr>
        <w:pStyle w:val="862"/>
        <w:numPr>
          <w:ilvl w:val="0"/>
          <w:numId w:val="4"/>
        </w:numPr>
        <w:rPr>
          <w:rStyle w:val="1092"/>
          <w:rFonts w:hint="eastAsia" w:ascii="宋体" w:hAnsi="宋体" w:eastAsia="宋体" w:cs="宋体"/>
          <w:b/>
          <w:sz w:val="32"/>
          <w:szCs w:val="32"/>
        </w:rPr>
      </w:pPr>
      <w:r/>
      <w:bookmarkStart w:id="253" w:name="_Toc383626068"/>
      <w:r/>
      <w:bookmarkStart w:id="254" w:name="_Toc383624020"/>
      <w:r/>
      <w:bookmarkStart w:id="255" w:name="_Toc382813956"/>
      <w:r/>
      <w:bookmarkStart w:id="256" w:name="_Toc390246997"/>
      <w:r/>
      <w:bookmarkStart w:id="257" w:name="_Toc383698721"/>
      <w:r/>
      <w:bookmarkStart w:id="258" w:name="_Toc383679821"/>
      <w:r/>
      <w:bookmarkStart w:id="259" w:name="_Toc288030358"/>
      <w:r/>
      <w:bookmarkStart w:id="260" w:name="_Toc383587528"/>
      <w:r/>
      <w:bookmarkStart w:id="261" w:name="_Toc383623748"/>
      <w:r/>
      <w:bookmarkStart w:id="262" w:name="_Toc390099110"/>
      <w:r/>
      <w:bookmarkStart w:id="263" w:name="_Toc390098914"/>
      <w:r/>
      <w:bookmarkStart w:id="264" w:name="_Toc426469931"/>
      <w:r/>
      <w:bookmarkStart w:id="265" w:name="_Toc382814037"/>
      <w:r/>
      <w:bookmarkStart w:id="266" w:name="_Toc382812506"/>
      <w:r>
        <w:rPr>
          <w:rStyle w:val="1092"/>
          <w:rFonts w:hint="eastAsia" w:ascii="宋体" w:hAnsi="宋体" w:eastAsia="宋体" w:cs="宋体"/>
          <w:b/>
          <w:sz w:val="32"/>
          <w:szCs w:val="32"/>
        </w:rPr>
        <w:t xml:space="preserve"> 合同条款及格式</w:t>
      </w:r>
      <w:r/>
    </w:p>
    <w:p>
      <w:pPr>
        <w:pStyle w:val="862"/>
        <w:ind w:left="0" w:firstLine="48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合同编号：</w:t>
      </w:r>
      <w:r/>
    </w:p>
    <w:p>
      <w:pPr>
        <w:rPr>
          <w:rFonts w:hint="eastAsia"/>
          <w:sz w:val="24"/>
          <w:szCs w:val="24"/>
        </w:rPr>
      </w:pPr>
      <w:r>
        <w:rPr>
          <w:rFonts w:hint="eastAsia"/>
          <w:sz w:val="24"/>
          <w:szCs w:val="24"/>
        </w:rPr>
      </w:r>
      <w:r/>
    </w:p>
    <w:tbl>
      <w:tblPr>
        <w:tblStyle w:val="834"/>
        <w:tblW w:w="8019" w:type="dxa"/>
        <w:tblInd w:w="382" w:type="dxa"/>
        <w:tblLayout w:type="fixed"/>
        <w:tblCellMar>
          <w:left w:w="0" w:type="dxa"/>
          <w:top w:w="0" w:type="dxa"/>
          <w:right w:w="0" w:type="dxa"/>
          <w:bottom w:w="0" w:type="dxa"/>
        </w:tblCellMar>
        <w:tblLook w:val="04A0" w:firstRow="1" w:lastRow="0" w:firstColumn="1" w:lastColumn="0" w:noHBand="0" w:noVBand="1"/>
      </w:tblPr>
      <w:tblGrid>
        <w:gridCol w:w="4237"/>
        <w:gridCol w:w="3782"/>
      </w:tblGrid>
      <w:tr>
        <w:trPr>
          <w:trHeight w:val="1075"/>
        </w:trPr>
        <w:tc>
          <w:tcPr>
            <w:tcBorders>
              <w:top w:val="none" w:color="000000" w:sz="4" w:space="0"/>
              <w:left w:val="none" w:color="000000" w:sz="4" w:space="0"/>
              <w:bottom w:val="none" w:color="000000" w:sz="4" w:space="0"/>
              <w:right w:val="none" w:color="000000" w:sz="4" w:space="0"/>
            </w:tcBorders>
            <w:tcW w:w="4237" w:type="dxa"/>
            <w:textDirection w:val="lrTb"/>
            <w:noWrap/>
          </w:tcPr>
          <w:p>
            <w:pPr>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W w:w="3782" w:type="dxa"/>
            <w:textDirection w:val="lrTb"/>
            <w:noWrap/>
          </w:tcPr>
          <w:p>
            <w:pPr>
              <w:ind w:firstLine="280"/>
              <w:jc w:val="left"/>
              <w:spacing w:line="460" w:lineRule="exact"/>
              <w:rPr>
                <w:rFonts w:hint="eastAsia" w:ascii="宋体" w:hAnsi="宋体" w:eastAsia="宋体" w:cs="宋体"/>
                <w:sz w:val="24"/>
                <w:szCs w:val="24"/>
              </w:rPr>
            </w:pPr>
            <w:r>
              <w:rPr>
                <w:rFonts w:hint="eastAsia" w:ascii="宋体" w:hAnsi="宋体" w:cs="宋体"/>
                <w:sz w:val="24"/>
                <w:szCs w:val="24"/>
                <w:lang w:eastAsia="zh-CN"/>
              </w:rPr>
              <w:t xml:space="preserve">中标</w:t>
            </w:r>
            <w:r>
              <w:rPr>
                <w:rFonts w:hint="eastAsia" w:ascii="宋体" w:hAnsi="宋体" w:eastAsia="宋体" w:cs="宋体"/>
                <w:sz w:val="24"/>
                <w:szCs w:val="24"/>
              </w:rPr>
              <w:t xml:space="preserve">人：（以下称乙方）</w:t>
            </w:r>
            <w:r/>
          </w:p>
        </w:tc>
      </w:tr>
      <w:tr>
        <w:trPr>
          <w:trHeight w:val="715"/>
        </w:trPr>
        <w:tc>
          <w:tcPr>
            <w:tcBorders>
              <w:top w:val="none" w:color="000000" w:sz="4" w:space="0"/>
              <w:left w:val="none" w:color="000000" w:sz="4" w:space="0"/>
              <w:bottom w:val="none" w:color="000000" w:sz="4" w:space="0"/>
              <w:right w:val="none" w:color="000000" w:sz="4" w:space="0"/>
            </w:tcBorders>
            <w:tcW w:w="4237" w:type="dxa"/>
            <w:textDirection w:val="lrTb"/>
            <w:noWrap/>
          </w:tcPr>
          <w:p>
            <w:pPr>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住所地：</w:t>
            </w:r>
            <w:r/>
          </w:p>
        </w:tc>
        <w:tc>
          <w:tcPr>
            <w:tcBorders>
              <w:top w:val="none" w:color="000000" w:sz="4" w:space="0"/>
              <w:left w:val="none" w:color="000000" w:sz="4" w:space="0"/>
              <w:bottom w:val="none" w:color="000000" w:sz="4" w:space="0"/>
              <w:right w:val="none" w:color="000000" w:sz="4" w:space="0"/>
            </w:tcBorders>
            <w:tcW w:w="3782" w:type="dxa"/>
            <w:textDirection w:val="lrTb"/>
            <w:noWrap/>
          </w:tcPr>
          <w:p>
            <w:pPr>
              <w:ind w:firstLine="2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住所地：</w:t>
            </w:r>
            <w:r/>
          </w:p>
        </w:tc>
      </w:tr>
    </w:tbl>
    <w:p>
      <w:pPr>
        <w:ind w:firstLine="422"/>
        <w:spacing w:line="46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2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根据《中华人民共和国政府采购法》、《中华人民共和国民法典》等法律法规的规定，甲乙双方按照招标结果签订本合同。</w:t>
      </w:r>
      <w:r/>
    </w:p>
    <w:p>
      <w:pPr>
        <w:ind w:firstLine="42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第一条  服务内容</w:t>
      </w:r>
      <w:r/>
    </w:p>
    <w:p>
      <w:pPr>
        <w:ind w:firstLine="420"/>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1.1乙方根据甲方需求提供下列服务：</w:t>
      </w:r>
      <w:r>
        <w:rPr>
          <w:rFonts w:hint="eastAsia" w:ascii="宋体" w:hAnsi="宋体" w:eastAsia="宋体" w:cs="宋体"/>
          <w:sz w:val="24"/>
          <w:szCs w:val="24"/>
          <w:u w:val="single"/>
        </w:rPr>
        <w:t xml:space="preserve">因政策规划，需对城区工业园区军民路南侧项目、根思路南侧项目、阳江路南侧项目等地块 (共约140000平方米)开展考古调查、勘探等服务（具体内容及要求详见招标文件）；（具体详见第五章采购需求）；</w:t>
      </w:r>
      <w:r/>
    </w:p>
    <w:p>
      <w:pPr>
        <w:ind w:firstLine="42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1.2本项目合同履行地点位于</w:t>
      </w:r>
      <w:r>
        <w:rPr>
          <w:rFonts w:hint="eastAsia" w:ascii="宋体" w:hAnsi="宋体" w:eastAsia="宋体" w:cs="宋体"/>
          <w:sz w:val="24"/>
          <w:szCs w:val="24"/>
          <w:u w:val="single"/>
        </w:rPr>
        <w:t xml:space="preserve"> 城区工业园区军民路南侧</w:t>
      </w:r>
      <w:r>
        <w:rPr>
          <w:rFonts w:hint="eastAsia" w:ascii="宋体" w:hAnsi="宋体" w:cs="宋体"/>
          <w:sz w:val="24"/>
          <w:szCs w:val="24"/>
          <w:u w:val="single"/>
          <w:lang w:eastAsia="zh-CN"/>
        </w:rPr>
        <w:t xml:space="preserve">（</w:t>
      </w:r>
      <w:r>
        <w:rPr>
          <w:rFonts w:hint="eastAsia" w:ascii="宋体" w:hAnsi="宋体" w:cs="宋体"/>
          <w:sz w:val="24"/>
          <w:szCs w:val="24"/>
          <w:u w:val="single"/>
          <w:lang w:val="en-US" w:eastAsia="zh-CN"/>
        </w:rPr>
        <w:t xml:space="preserve">博群、利德机械</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rPr>
        <w:t xml:space="preserve">根思路南侧</w:t>
      </w:r>
      <w:r>
        <w:rPr>
          <w:rFonts w:hint="eastAsia" w:ascii="宋体" w:hAnsi="宋体" w:cs="宋体"/>
          <w:sz w:val="24"/>
          <w:szCs w:val="24"/>
          <w:u w:val="single"/>
          <w:lang w:eastAsia="zh-CN"/>
        </w:rPr>
        <w:t xml:space="preserve">（</w:t>
      </w:r>
      <w:r>
        <w:rPr>
          <w:rFonts w:hint="eastAsia" w:ascii="宋体" w:hAnsi="宋体" w:cs="宋体"/>
          <w:sz w:val="24"/>
          <w:szCs w:val="24"/>
          <w:u w:val="single"/>
          <w:lang w:val="en-US" w:eastAsia="zh-CN"/>
        </w:rPr>
        <w:t xml:space="preserve">交通建设工程、银沙路、哈船院</w:t>
      </w:r>
      <w:bookmarkStart w:id="321" w:name="_GoBack"/>
      <w:r/>
      <w:bookmarkEnd w:id="321"/>
      <w:r>
        <w:rPr>
          <w:rFonts w:hint="eastAsia" w:ascii="宋体" w:hAnsi="宋体" w:cs="宋体"/>
          <w:sz w:val="24"/>
          <w:szCs w:val="24"/>
          <w:u w:val="single"/>
          <w:lang w:eastAsia="zh-CN"/>
        </w:rPr>
        <w:t xml:space="preserve">）、</w:t>
      </w:r>
      <w:r>
        <w:rPr>
          <w:rFonts w:hint="eastAsia" w:ascii="宋体" w:hAnsi="宋体" w:eastAsia="宋体" w:cs="宋体"/>
          <w:sz w:val="24"/>
          <w:szCs w:val="24"/>
          <w:u w:val="single"/>
        </w:rPr>
        <w:t xml:space="preserve">阳江路南侧</w:t>
      </w:r>
      <w:r>
        <w:rPr>
          <w:rFonts w:hint="eastAsia" w:ascii="宋体" w:hAnsi="宋体" w:eastAsia="宋体" w:cs="宋体"/>
          <w:sz w:val="24"/>
          <w:szCs w:val="24"/>
        </w:rPr>
        <w:t xml:space="preserve">。</w:t>
      </w:r>
      <w:r/>
    </w:p>
    <w:p>
      <w:pPr>
        <w:ind w:firstLine="422"/>
        <w:jc w:val="left"/>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第二条  合同总价款</w:t>
      </w:r>
      <w:r/>
    </w:p>
    <w:p>
      <w:pPr>
        <w:ind w:left="210" w:firstLine="180"/>
        <w:spacing w:line="360" w:lineRule="exact"/>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cs="宋体"/>
          <w:sz w:val="24"/>
          <w:szCs w:val="24"/>
        </w:rPr>
        <w:t xml:space="preserve">按照乙方最终中标结果</w:t>
      </w:r>
      <w:r>
        <w:rPr>
          <w:rFonts w:hint="eastAsia" w:ascii="宋体" w:hAnsi="宋体" w:eastAsia="宋体" w:cs="宋体"/>
          <w:sz w:val="24"/>
          <w:szCs w:val="24"/>
        </w:rPr>
        <w:t xml:space="preserve">，</w:t>
      </w:r>
      <w:r>
        <w:rPr>
          <w:rFonts w:hint="eastAsia" w:ascii="宋体" w:hAnsi="宋体" w:cs="宋体"/>
          <w:sz w:val="24"/>
        </w:rPr>
        <w:t xml:space="preserve">考古调查勘探服务总价款为人民币（大写）</w:t>
      </w:r>
      <w:r>
        <w:rPr>
          <w:rFonts w:hint="eastAsia" w:ascii="宋体" w:hAnsi="宋体" w:cs="宋体"/>
          <w:sz w:val="24"/>
          <w:u w:val="single"/>
        </w:rPr>
        <w:t xml:space="preserve">           （¥          ）</w:t>
      </w:r>
      <w:r>
        <w:rPr>
          <w:rFonts w:hint="eastAsia" w:ascii="宋体" w:hAnsi="宋体" w:eastAsia="宋体" w:cs="宋体"/>
          <w:sz w:val="24"/>
          <w:szCs w:val="24"/>
        </w:rPr>
        <w:t xml:space="preserve">。</w:t>
      </w:r>
      <w:r/>
    </w:p>
    <w:p>
      <w:pPr>
        <w:pStyle w:val="1093"/>
        <w:contextualSpacing/>
        <w:jc w:val="left"/>
        <w:spacing w:line="360" w:lineRule="auto"/>
        <w:rPr>
          <w:rFonts w:hint="eastAsia" w:ascii="宋体" w:hAnsi="宋体" w:eastAsia="宋体" w:cs="宋体"/>
          <w:bCs/>
          <w:sz w:val="24"/>
          <w:szCs w:val="24"/>
          <w:highlight w:val="white"/>
          <w:lang w:eastAsia="zh-CN"/>
        </w:rPr>
      </w:pPr>
      <w:r>
        <w:rPr>
          <w:rFonts w:hint="eastAsia" w:ascii="宋体" w:hAnsi="宋体" w:eastAsia="宋体" w:cs="宋体"/>
          <w:sz w:val="24"/>
          <w:szCs w:val="24"/>
        </w:rPr>
        <w:t xml:space="preserve">2.2</w:t>
      </w:r>
      <w:r>
        <w:rPr>
          <w:rFonts w:hint="eastAsia" w:ascii="宋体" w:hAnsi="宋体" w:eastAsia="宋体" w:cs="宋体"/>
          <w:bCs/>
          <w:sz w:val="24"/>
          <w:szCs w:val="24"/>
          <w:highlight w:val="white"/>
        </w:rPr>
        <w:t xml:space="preserve">.本合同总价款是完成本项目所发生的所有含税费用，包括但不限于提供人员（包括工资和补贴）、地下文物勘探费（含清表、机械配合、挖掘及挖掘后施工场地的平整恢复等）、勘探报告专家评审费、车旅费、住勤费、餐饮费、税金等政策性文件规定及合同包含的所有风险、责任等各项应有费用，以及为完成合同规定的服务工作所涉及到的一切相关费用，采购人不再支付其他任何费用</w:t>
      </w:r>
      <w:r>
        <w:rPr>
          <w:rFonts w:hint="eastAsia" w:ascii="宋体" w:hAnsi="宋体" w:eastAsia="宋体" w:cs="宋体"/>
          <w:bCs/>
          <w:sz w:val="24"/>
          <w:szCs w:val="24"/>
          <w:highlight w:val="white"/>
          <w:lang w:eastAsia="zh-CN"/>
        </w:rPr>
        <w:t xml:space="preserve">。</w:t>
      </w:r>
      <w:r/>
    </w:p>
    <w:p>
      <w:pPr>
        <w:ind w:firstLine="420"/>
        <w:spacing w:line="360" w:lineRule="exact"/>
        <w:rPr>
          <w:rFonts w:hint="eastAsia" w:ascii="宋体" w:hAnsi="宋体" w:eastAsia="宋体" w:cs="宋体"/>
          <w:bCs/>
          <w:sz w:val="24"/>
          <w:szCs w:val="24"/>
          <w:highlight w:val="white"/>
          <w:lang w:val="en-US" w:eastAsia="zh-CN"/>
        </w:rPr>
      </w:pPr>
      <w:r>
        <w:rPr>
          <w:rFonts w:hint="eastAsia" w:ascii="宋体" w:hAnsi="宋体" w:cs="宋体"/>
          <w:sz w:val="24"/>
        </w:rPr>
        <w:t xml:space="preserve">2.3合同形式</w:t>
      </w:r>
      <w:r>
        <w:rPr>
          <w:rFonts w:hint="eastAsia" w:ascii="宋体" w:hAnsi="宋体" w:cs="宋体"/>
          <w:sz w:val="24"/>
          <w:lang w:eastAsia="zh-CN"/>
        </w:rPr>
        <w:t xml:space="preserve">：</w:t>
      </w:r>
      <w:r>
        <w:rPr>
          <w:rFonts w:hint="eastAsia" w:ascii="宋体" w:hAnsi="宋体" w:cs="宋体"/>
          <w:sz w:val="24"/>
        </w:rPr>
        <w:t xml:space="preserve">固定总价合同。</w:t>
      </w:r>
      <w:r/>
    </w:p>
    <w:p>
      <w:pPr>
        <w:ind w:firstLine="422"/>
        <w:jc w:val="left"/>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第三条  甲乙双方权利与义务</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3.1甲方的权利和义务</w:t>
      </w:r>
      <w:r/>
    </w:p>
    <w:p>
      <w:pPr>
        <w:numPr>
          <w:ilvl w:val="0"/>
          <w:numId w:val="5"/>
        </w:num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负责文物资源评估项目的确认、协调等相关工作，积极协助</w:t>
      </w:r>
      <w:r>
        <w:rPr>
          <w:rFonts w:hint="eastAsia" w:ascii="宋体" w:hAnsi="宋体" w:cs="宋体"/>
          <w:sz w:val="24"/>
          <w:szCs w:val="24"/>
          <w:lang w:eastAsia="zh-CN"/>
        </w:rPr>
        <w:t xml:space="preserve">中标</w:t>
      </w:r>
      <w:r>
        <w:rPr>
          <w:rFonts w:hint="eastAsia" w:ascii="宋体" w:hAnsi="宋体" w:eastAsia="宋体" w:cs="宋体"/>
          <w:sz w:val="24"/>
          <w:szCs w:val="24"/>
        </w:rPr>
        <w:t xml:space="preserve">供应商开展文物资源评估工作。</w:t>
      </w:r>
      <w:r/>
    </w:p>
    <w:p>
      <w:pPr>
        <w:numPr>
          <w:ilvl w:val="0"/>
          <w:numId w:val="5"/>
        </w:num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协助</w:t>
      </w:r>
      <w:r>
        <w:rPr>
          <w:rFonts w:hint="eastAsia" w:ascii="宋体" w:hAnsi="宋体" w:cs="宋体"/>
          <w:sz w:val="24"/>
          <w:szCs w:val="24"/>
          <w:lang w:eastAsia="zh-CN"/>
        </w:rPr>
        <w:t xml:space="preserve">中标</w:t>
      </w:r>
      <w:r>
        <w:rPr>
          <w:rFonts w:hint="eastAsia" w:ascii="宋体" w:hAnsi="宋体" w:eastAsia="宋体" w:cs="宋体"/>
          <w:sz w:val="24"/>
          <w:szCs w:val="24"/>
        </w:rPr>
        <w:t xml:space="preserve">供应商调查采访项目所在地块原始居民。</w:t>
      </w:r>
      <w:r/>
    </w:p>
    <w:p>
      <w:pPr>
        <w:numPr>
          <w:ilvl w:val="0"/>
          <w:numId w:val="5"/>
        </w:num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及时向</w:t>
      </w:r>
      <w:r>
        <w:rPr>
          <w:rFonts w:hint="eastAsia" w:ascii="宋体" w:hAnsi="宋体" w:cs="宋体"/>
          <w:sz w:val="24"/>
          <w:szCs w:val="24"/>
          <w:lang w:eastAsia="zh-CN"/>
        </w:rPr>
        <w:t xml:space="preserve">中标</w:t>
      </w:r>
      <w:r>
        <w:rPr>
          <w:rFonts w:hint="eastAsia" w:ascii="宋体" w:hAnsi="宋体" w:eastAsia="宋体" w:cs="宋体"/>
          <w:sz w:val="24"/>
          <w:szCs w:val="24"/>
        </w:rPr>
        <w:t xml:space="preserve">供应商提交该项目地块规划红线图。</w:t>
      </w:r>
      <w:r/>
    </w:p>
    <w:p>
      <w:pPr>
        <w:numPr>
          <w:ilvl w:val="0"/>
          <w:numId w:val="5"/>
        </w:num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确保文物资源评估区域范围内无产权等纠纷。</w:t>
      </w:r>
      <w:r/>
    </w:p>
    <w:p>
      <w:pPr>
        <w:numPr>
          <w:ilvl w:val="0"/>
          <w:numId w:val="5"/>
        </w:num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协助文物部门对文物资源评估工作现场开展指导检查、审核验收等工作。</w:t>
      </w:r>
      <w:r/>
    </w:p>
    <w:p>
      <w:pPr>
        <w:ind w:firstLine="42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3.2乙方的权利和义务</w:t>
      </w:r>
      <w:r/>
    </w:p>
    <w:p>
      <w:pPr>
        <w:numPr>
          <w:ilvl w:val="0"/>
          <w:numId w:val="6"/>
        </w:numPr>
        <w:ind w:firstLine="42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接受文物部门组织的专家对本项目文物资源评估工作现场的指导检查、监督管理及审核验收。</w:t>
      </w:r>
      <w:r/>
    </w:p>
    <w:p>
      <w:pPr>
        <w:numPr>
          <w:ilvl w:val="0"/>
          <w:numId w:val="6"/>
        </w:numPr>
        <w:ind w:firstLine="42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本项目文物资源评估工作前，编制科学合理的《文物资源区域评估方案》并经省文物保护专家库相关考古专家论证，与开工报告一并报省文物局备案。</w:t>
      </w:r>
      <w:r/>
    </w:p>
    <w:p>
      <w:pPr>
        <w:numPr>
          <w:ilvl w:val="0"/>
          <w:numId w:val="6"/>
        </w:numPr>
        <w:ind w:firstLine="42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自主开展本项目文物资源评估工作，实行独立核算，自负盈亏。</w:t>
      </w:r>
      <w:r/>
    </w:p>
    <w:p>
      <w:pPr>
        <w:numPr>
          <w:ilvl w:val="0"/>
          <w:numId w:val="6"/>
        </w:numPr>
        <w:ind w:firstLine="42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在本项目文物资源评估工作期间，须严格遵守国家及省相关法律法规。</w:t>
      </w:r>
      <w:r/>
    </w:p>
    <w:p>
      <w:pPr>
        <w:numPr>
          <w:ilvl w:val="0"/>
          <w:numId w:val="6"/>
        </w:numPr>
        <w:ind w:firstLine="42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自行解决本项目文物资源评估工作中的一切问题，包括但不限于工作人员及设备、交通、保险、医疗、税务、财务、吃住以及文物资源评估工作过程中产生的一切安全责任等。</w:t>
      </w:r>
      <w:r/>
    </w:p>
    <w:p>
      <w:pPr>
        <w:numPr>
          <w:ilvl w:val="0"/>
          <w:numId w:val="6"/>
        </w:numPr>
        <w:ind w:firstLine="42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严格按照国家文物局颁布的《田野考古操作规程》《考古勘探工作规程》（试行），及文物部门的相关要求开展工作，确保文物资源评估工作的质量及最终成果的真实可靠；由于</w:t>
      </w:r>
      <w:r>
        <w:rPr>
          <w:rFonts w:hint="eastAsia" w:ascii="宋体" w:hAnsi="宋体" w:cs="宋体"/>
          <w:sz w:val="24"/>
          <w:szCs w:val="24"/>
          <w:lang w:eastAsia="zh-CN"/>
        </w:rPr>
        <w:t xml:space="preserve">中标</w:t>
      </w:r>
      <w:r>
        <w:rPr>
          <w:rFonts w:hint="eastAsia" w:ascii="宋体" w:hAnsi="宋体" w:eastAsia="宋体" w:cs="宋体"/>
          <w:sz w:val="24"/>
          <w:szCs w:val="24"/>
        </w:rPr>
        <w:t xml:space="preserve">供应商自身原因出现漏探、误探、瞒探等问题，使地下文物受损，给采购人及省文物局带来负面影响和损失，由此产生的后果和责任由</w:t>
      </w:r>
      <w:r>
        <w:rPr>
          <w:rFonts w:hint="eastAsia" w:ascii="宋体" w:hAnsi="宋体" w:cs="宋体"/>
          <w:sz w:val="24"/>
          <w:szCs w:val="24"/>
          <w:lang w:eastAsia="zh-CN"/>
        </w:rPr>
        <w:t xml:space="preserve">中标</w:t>
      </w:r>
      <w:r>
        <w:rPr>
          <w:rFonts w:hint="eastAsia" w:ascii="宋体" w:hAnsi="宋体" w:eastAsia="宋体" w:cs="宋体"/>
          <w:sz w:val="24"/>
          <w:szCs w:val="24"/>
        </w:rPr>
        <w:t xml:space="preserve">供应商负完全责任。</w:t>
      </w:r>
      <w:r/>
    </w:p>
    <w:p>
      <w:pPr>
        <w:numPr>
          <w:ilvl w:val="0"/>
          <w:numId w:val="6"/>
        </w:numPr>
        <w:ind w:firstLine="420"/>
        <w:jc w:val="left"/>
        <w:spacing w:line="460" w:lineRule="exact"/>
        <w:widowControl/>
        <w:rPr>
          <w:rFonts w:hint="eastAsia" w:ascii="宋体" w:hAnsi="宋体" w:eastAsia="宋体" w:cs="宋体"/>
          <w:sz w:val="24"/>
          <w:szCs w:val="24"/>
        </w:rPr>
      </w:pPr>
      <w:r>
        <w:rPr>
          <w:rFonts w:hint="eastAsia" w:ascii="宋体" w:hAnsi="宋体" w:cs="宋体"/>
          <w:sz w:val="24"/>
          <w:szCs w:val="24"/>
          <w:lang w:eastAsia="zh-CN"/>
        </w:rPr>
        <w:t xml:space="preserve">中标</w:t>
      </w:r>
      <w:r>
        <w:rPr>
          <w:rFonts w:hint="eastAsia" w:ascii="宋体" w:hAnsi="宋体" w:eastAsia="宋体" w:cs="宋体"/>
          <w:sz w:val="24"/>
          <w:szCs w:val="24"/>
        </w:rPr>
        <w:t xml:space="preserve">供应商负责本项目文物资源评估工作现场的安全保卫工作。在本项目文物资源评估工作期间，</w:t>
      </w:r>
      <w:r>
        <w:rPr>
          <w:rFonts w:hint="eastAsia" w:ascii="宋体" w:hAnsi="宋体" w:cs="宋体"/>
          <w:sz w:val="24"/>
          <w:szCs w:val="24"/>
          <w:lang w:eastAsia="zh-CN"/>
        </w:rPr>
        <w:t xml:space="preserve">中标</w:t>
      </w:r>
      <w:r>
        <w:rPr>
          <w:rFonts w:hint="eastAsia" w:ascii="宋体" w:hAnsi="宋体" w:eastAsia="宋体" w:cs="宋体"/>
          <w:sz w:val="24"/>
          <w:szCs w:val="24"/>
        </w:rPr>
        <w:t xml:space="preserve">供应商调查、勘探发现古代遗迹、墓葬等遗存后，应立即采取有效保护措施，第一时间将所发现的古代遗存以清单形式书面通知采购人及文物部门，由采购人采取安全保卫措施。若</w:t>
      </w:r>
      <w:r>
        <w:rPr>
          <w:rFonts w:hint="eastAsia" w:ascii="宋体" w:hAnsi="宋体" w:cs="宋体"/>
          <w:sz w:val="24"/>
          <w:szCs w:val="24"/>
          <w:lang w:eastAsia="zh-CN"/>
        </w:rPr>
        <w:t xml:space="preserve">中标</w:t>
      </w:r>
      <w:r>
        <w:rPr>
          <w:rFonts w:hint="eastAsia" w:ascii="宋体" w:hAnsi="宋体" w:eastAsia="宋体" w:cs="宋体"/>
          <w:sz w:val="24"/>
          <w:szCs w:val="24"/>
        </w:rPr>
        <w:t xml:space="preserve">供应商未及时通知，造成古代遗存的丢失、毁损，由</w:t>
      </w:r>
      <w:r>
        <w:rPr>
          <w:rFonts w:hint="eastAsia" w:ascii="宋体" w:hAnsi="宋体" w:cs="宋体"/>
          <w:sz w:val="24"/>
          <w:szCs w:val="24"/>
          <w:lang w:eastAsia="zh-CN"/>
        </w:rPr>
        <w:t xml:space="preserve">中标</w:t>
      </w:r>
      <w:r>
        <w:rPr>
          <w:rFonts w:hint="eastAsia" w:ascii="宋体" w:hAnsi="宋体" w:eastAsia="宋体" w:cs="宋体"/>
          <w:sz w:val="24"/>
          <w:szCs w:val="24"/>
        </w:rPr>
        <w:t xml:space="preserve">供应商承担相应的民事及刑事责任。</w:t>
      </w:r>
      <w:r/>
    </w:p>
    <w:p>
      <w:pPr>
        <w:jc w:val="left"/>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第四条  质量保证</w:t>
      </w:r>
      <w:r/>
    </w:p>
    <w:p>
      <w:pPr>
        <w:jc w:val="left"/>
        <w:spacing w:line="460" w:lineRule="exact"/>
        <w:widowControl/>
        <w:rPr>
          <w:rFonts w:hint="eastAsia" w:ascii="宋体" w:hAnsi="宋体" w:eastAsia="宋体" w:cs="宋体"/>
          <w:color w:val="ff0000"/>
          <w:sz w:val="24"/>
          <w:szCs w:val="24"/>
        </w:rPr>
      </w:pPr>
      <w:r>
        <w:rPr>
          <w:rFonts w:hint="eastAsia" w:ascii="宋体" w:hAnsi="宋体" w:eastAsia="宋体" w:cs="宋体"/>
          <w:sz w:val="24"/>
          <w:szCs w:val="24"/>
        </w:rPr>
        <w:t xml:space="preserve">    4.1乙方所提供服务的技术规格应与招标文件规定的技术规格及所附的“技术条款响应表”相一致；若技术性能无特殊说明，则按国家有关部门最新颁布的标准及规范为准。</w:t>
      </w:r>
      <w:r/>
    </w:p>
    <w:p>
      <w:pPr>
        <w:jc w:val="left"/>
        <w:spacing w:line="460" w:lineRule="exact"/>
        <w:widowControl/>
        <w:rPr>
          <w:rFonts w:hint="eastAsia" w:ascii="宋体" w:hAnsi="宋体" w:eastAsia="宋体" w:cs="宋体"/>
          <w:b/>
          <w:bCs/>
          <w:color w:val="auto"/>
          <w:sz w:val="24"/>
          <w:szCs w:val="24"/>
        </w:rPr>
      </w:pPr>
      <w:r>
        <w:rPr>
          <w:rFonts w:hint="eastAsia" w:ascii="宋体" w:hAnsi="宋体" w:eastAsia="宋体" w:cs="宋体"/>
          <w:b/>
          <w:bCs/>
          <w:color w:val="ff0000"/>
          <w:sz w:val="24"/>
          <w:szCs w:val="24"/>
        </w:rPr>
        <w:t xml:space="preserve">   </w:t>
      </w:r>
      <w:r>
        <w:rPr>
          <w:rFonts w:hint="eastAsia" w:ascii="宋体" w:hAnsi="宋体" w:eastAsia="宋体" w:cs="宋体"/>
          <w:b/>
          <w:bCs/>
          <w:color w:val="auto"/>
          <w:sz w:val="24"/>
          <w:szCs w:val="24"/>
        </w:rPr>
        <w:t xml:space="preserve">第五条 </w:t>
      </w:r>
      <w:r>
        <w:rPr>
          <w:rFonts w:hint="eastAsia" w:ascii="宋体" w:hAnsi="宋体" w:cs="宋体"/>
          <w:b/>
          <w:bCs/>
          <w:color w:val="auto"/>
          <w:sz w:val="24"/>
          <w:szCs w:val="24"/>
        </w:rPr>
        <w:t xml:space="preserve">合同履行期限和验收</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 </w:t>
      </w:r>
      <w:r/>
    </w:p>
    <w:p>
      <w:pPr>
        <w:ind w:firstLine="241"/>
        <w:jc w:val="left"/>
        <w:spacing w:line="46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 第六条 履约保证金 </w:t>
      </w:r>
      <w:r/>
    </w:p>
    <w:p>
      <w:pPr>
        <w:ind w:firstLine="42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6.1履约保证金：</w:t>
      </w:r>
      <w:r>
        <w:rPr>
          <w:rFonts w:hint="eastAsia" w:ascii="宋体" w:hAnsi="宋体" w:cs="宋体"/>
          <w:color w:val="auto"/>
          <w:sz w:val="24"/>
          <w:szCs w:val="24"/>
          <w:lang w:eastAsia="zh-CN"/>
        </w:rPr>
        <w:t xml:space="preserve">中标</w:t>
      </w:r>
      <w:r>
        <w:rPr>
          <w:rFonts w:hint="eastAsia" w:ascii="宋体" w:hAnsi="宋体" w:eastAsia="宋体" w:cs="宋体"/>
          <w:color w:val="auto"/>
          <w:sz w:val="24"/>
          <w:szCs w:val="24"/>
        </w:rPr>
        <w:t xml:space="preserve">价的</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%，在合同签订前缴纳</w:t>
      </w:r>
      <w:r>
        <w:rPr>
          <w:rFonts w:hint="eastAsia" w:ascii="宋体" w:hAnsi="宋体" w:cs="宋体"/>
          <w:sz w:val="24"/>
          <w:szCs w:val="24"/>
        </w:rPr>
        <w:t xml:space="preserve">，项目通过验收并取得省文物局意见后不计利息退还。</w:t>
      </w:r>
      <w:r/>
    </w:p>
    <w:p>
      <w:pPr>
        <w:jc w:val="left"/>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第七条  费用支付</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7.1本合同项下所有款项均以人民币支付。</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7.2本合同项下的采购资金由甲方以银行转账形式支付给乙方，每次支付前乙方需向甲方提供正规的税务发票。乙方账户信息以合同记载为准。</w:t>
      </w:r>
      <w:r/>
    </w:p>
    <w:p>
      <w:pPr>
        <w:ind w:firstLine="480"/>
        <w:jc w:val="left"/>
        <w:spacing w:line="460" w:lineRule="exact"/>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7.3付款条件：本合同为固定总价合同,合同总价不予调整，合同签订后完成全部工作量并与之相关的一切工作，出具符合招标人及省文物局、其他相关权威部门认可且满足土地上市要求的正式考古调查、勘探报告，并通过省文物局验收、批复后，由中标人，提供符合招标人财务规定的增值税专用发票后三十个工作日内一次性付清。（所有款项均不计利息）</w:t>
      </w:r>
      <w:r/>
    </w:p>
    <w:p>
      <w:pPr>
        <w:ind w:left="420"/>
        <w:jc w:val="left"/>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第八条  违约责任</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8.1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8.2乙方所交付的服务未通过专家验收，甲方有权拒收并有权解除合同，且不予支付任何合同款项，且乙方应向甲方支付合同总价5%的违约金，违约金不足以弥补损失的，乙方应另行足额赔偿，解除合同的通知自到达乙方时生效。       </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8.3乙方响应属虚假承诺，或是由于乙方的过错造成合同无法继续履行的，甲方有权解除合同，且乙方应向甲方支付不少于合同总价20%违约金。</w:t>
      </w:r>
      <w:r/>
    </w:p>
    <w:p>
      <w:pPr>
        <w:jc w:val="left"/>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第九条  协议的变更和终止</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9.1除发生法律规定的不能预见、不能避免并不能克服的客观情况以及本合同约定外，甲乙双方不得擅自变更、中止或终止、解除合同。</w:t>
      </w:r>
      <w:r/>
    </w:p>
    <w:p>
      <w:pPr>
        <w:jc w:val="left"/>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第十条  争议的解决</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10.1因服务的质量问题发生争议的，应当邀请国家认可的质量检测机构对服务质量进行鉴定。服务符合标准的，鉴定费由甲方承担；服务不符合质量标准的，鉴定费由乙方承担。</w:t>
      </w:r>
      <w:r/>
    </w:p>
    <w:p>
      <w:pPr>
        <w:ind w:firstLine="42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种方式解决争议：</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（1）向甲方所在地有管辖权的人民法院提起诉讼。</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（2）向泰兴市仲裁委员会按其仲裁规则申请仲裁。</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10.3在仲裁期间，本合同应继续履行。</w:t>
      </w:r>
      <w:r/>
    </w:p>
    <w:p>
      <w:pPr>
        <w:jc w:val="left"/>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第十一条  诚实信用 </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11.1乙方应诚实信用，严格按照招标文件要求和投标承诺履行合同，不向甲方进行商业贿赂或者提供不正当利益。</w:t>
      </w:r>
      <w:r/>
    </w:p>
    <w:p>
      <w:pPr>
        <w:jc w:val="left"/>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第十二条  其他约定</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12.1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要求乙方承担合同价款20%的违约金，如造成损失的还应赔偿损失，甲方有权按照本合同约定向乙方主张违约责任及赔偿责任的权利。</w:t>
      </w:r>
      <w:r/>
    </w:p>
    <w:p>
      <w:pPr>
        <w:jc w:val="left"/>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第十三条  合同生效及其他</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13.1本合同自签订之日起生效。</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    13.2本合同一式肆份，甲乙双方各执两份。</w:t>
      </w:r>
      <w:r/>
    </w:p>
    <w:p>
      <w:pPr>
        <w:ind w:firstLine="42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13.3本合同应按照中华人民共和国的现行法律进行解释。 </w:t>
      </w:r>
      <w:r/>
    </w:p>
    <w:tbl>
      <w:tblPr>
        <w:tblStyle w:val="834"/>
        <w:tblW w:w="9150" w:type="dxa"/>
        <w:tblInd w:w="28" w:type="dxa"/>
        <w:tblLayout w:type="fixed"/>
        <w:tblCellMar>
          <w:left w:w="0" w:type="dxa"/>
          <w:top w:w="0" w:type="dxa"/>
          <w:right w:w="0" w:type="dxa"/>
          <w:bottom w:w="0" w:type="dxa"/>
        </w:tblCellMar>
        <w:tblLook w:val="04A0" w:firstRow="1" w:lastRow="0" w:firstColumn="1" w:lastColumn="0" w:noHBand="0" w:noVBand="1"/>
      </w:tblPr>
      <w:tblGrid>
        <w:gridCol w:w="4650"/>
        <w:gridCol w:w="4500"/>
      </w:tblGrid>
      <w:tr>
        <w:trPr/>
        <w:tc>
          <w:tcPr>
            <w:tcBorders>
              <w:top w:val="none" w:color="000000" w:sz="4" w:space="0"/>
              <w:left w:val="none" w:color="000000" w:sz="4" w:space="0"/>
              <w:bottom w:val="none" w:color="000000" w:sz="4" w:space="0"/>
              <w:right w:val="none" w:color="000000" w:sz="4" w:space="0"/>
            </w:tcBorders>
            <w:tcW w:w="4650" w:type="dxa"/>
            <w:textDirection w:val="lrTb"/>
            <w:noWrap/>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甲方：（盖章）</w:t>
            </w:r>
            <w:r/>
          </w:p>
        </w:tc>
        <w:tc>
          <w:tcPr>
            <w:tcBorders>
              <w:top w:val="none" w:color="000000" w:sz="4" w:space="0"/>
              <w:left w:val="none" w:color="000000" w:sz="4" w:space="0"/>
              <w:bottom w:val="none" w:color="000000" w:sz="4" w:space="0"/>
              <w:right w:val="none" w:color="000000" w:sz="4" w:space="0"/>
            </w:tcBorders>
            <w:tcW w:w="4500" w:type="dxa"/>
            <w:textDirection w:val="lrTb"/>
            <w:noWrap/>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p>
        </w:tc>
      </w:tr>
      <w:tr>
        <w:trPr>
          <w:trHeight w:val="1867"/>
        </w:trPr>
        <w:tc>
          <w:tcPr>
            <w:tcBorders>
              <w:top w:val="none" w:color="000000" w:sz="4" w:space="0"/>
              <w:left w:val="none" w:color="000000" w:sz="4" w:space="0"/>
              <w:bottom w:val="none" w:color="000000" w:sz="4" w:space="0"/>
              <w:right w:val="none" w:color="000000" w:sz="4" w:space="0"/>
            </w:tcBorders>
            <w:tcW w:w="4650" w:type="dxa"/>
            <w:textDirection w:val="lrTb"/>
            <w:noWrap/>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经办人： </w:t>
            </w:r>
            <w:r/>
          </w:p>
        </w:tc>
        <w:tc>
          <w:tcPr>
            <w:tcBorders>
              <w:top w:val="none" w:color="000000" w:sz="4" w:space="0"/>
              <w:left w:val="none" w:color="000000" w:sz="4" w:space="0"/>
              <w:bottom w:val="none" w:color="000000" w:sz="4" w:space="0"/>
              <w:right w:val="none" w:color="000000" w:sz="4" w:space="0"/>
            </w:tcBorders>
            <w:tcW w:w="4500" w:type="dxa"/>
            <w:textDirection w:val="lrTb"/>
            <w:noWrap/>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经办人： </w:t>
            </w:r>
            <w:r/>
          </w:p>
        </w:tc>
      </w:tr>
      <w:tr>
        <w:trPr/>
        <w:tc>
          <w:tcPr>
            <w:tcBorders>
              <w:top w:val="none" w:color="000000" w:sz="4" w:space="0"/>
              <w:left w:val="none" w:color="000000" w:sz="4" w:space="0"/>
              <w:bottom w:val="none" w:color="000000" w:sz="4" w:space="0"/>
              <w:right w:val="none" w:color="000000" w:sz="4" w:space="0"/>
            </w:tcBorders>
            <w:tcW w:w="4650" w:type="dxa"/>
            <w:textDirection w:val="lrTb"/>
            <w:noWrap/>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电    话： </w:t>
            </w:r>
            <w:r/>
          </w:p>
        </w:tc>
        <w:tc>
          <w:tcPr>
            <w:tcBorders>
              <w:top w:val="none" w:color="000000" w:sz="4" w:space="0"/>
              <w:left w:val="none" w:color="000000" w:sz="4" w:space="0"/>
              <w:bottom w:val="none" w:color="000000" w:sz="4" w:space="0"/>
              <w:right w:val="none" w:color="000000" w:sz="4" w:space="0"/>
            </w:tcBorders>
            <w:tcW w:w="4500" w:type="dxa"/>
            <w:textDirection w:val="lrTb"/>
            <w:noWrap/>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50" w:type="dxa"/>
            <w:textDirection w:val="lrTb"/>
            <w:noWrap/>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 </w:t>
            </w:r>
            <w:r/>
          </w:p>
        </w:tc>
        <w:tc>
          <w:tcPr>
            <w:tcBorders>
              <w:top w:val="none" w:color="000000" w:sz="4" w:space="0"/>
              <w:left w:val="none" w:color="000000" w:sz="4" w:space="0"/>
              <w:bottom w:val="none" w:color="000000" w:sz="4" w:space="0"/>
              <w:right w:val="none" w:color="000000" w:sz="4" w:space="0"/>
            </w:tcBorders>
            <w:tcW w:w="4500" w:type="dxa"/>
            <w:textDirection w:val="lrTb"/>
            <w:noWrap/>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50" w:type="dxa"/>
            <w:textDirection w:val="lrTb"/>
            <w:noWrap/>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帐    号：</w:t>
            </w:r>
            <w:r/>
          </w:p>
        </w:tc>
        <w:tc>
          <w:tcPr>
            <w:tcBorders>
              <w:top w:val="none" w:color="000000" w:sz="4" w:space="0"/>
              <w:left w:val="none" w:color="000000" w:sz="4" w:space="0"/>
              <w:bottom w:val="none" w:color="000000" w:sz="4" w:space="0"/>
              <w:right w:val="none" w:color="000000" w:sz="4" w:space="0"/>
            </w:tcBorders>
            <w:tcW w:w="4500" w:type="dxa"/>
            <w:textDirection w:val="lrTb"/>
            <w:noWrap/>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帐    号：</w:t>
            </w:r>
            <w:r/>
          </w:p>
        </w:tc>
      </w:tr>
    </w:tbl>
    <w:p>
      <w:pPr>
        <w:spacing w:line="460" w:lineRule="exact"/>
        <w:rPr>
          <w:rFonts w:hint="eastAsia" w:ascii="宋体" w:hAnsi="宋体" w:cs="宋体"/>
          <w:b/>
          <w:bCs/>
          <w:sz w:val="24"/>
        </w:rPr>
      </w:pPr>
      <w:r>
        <w:rPr>
          <w:rFonts w:hint="eastAsia" w:ascii="宋体" w:hAnsi="宋体" w:cs="宋体"/>
          <w:b/>
          <w:bCs/>
          <w:sz w:val="24"/>
        </w:rPr>
      </w:r>
      <w:r/>
    </w:p>
    <w:p>
      <w:pPr>
        <w:spacing w:line="460" w:lineRule="exact"/>
        <w:rPr>
          <w:rFonts w:ascii="宋体" w:hAnsi="宋体" w:cs="宋体"/>
          <w:sz w:val="24"/>
        </w:rPr>
      </w:pPr>
      <w:r>
        <w:rPr>
          <w:rFonts w:hint="eastAsia" w:ascii="宋体" w:hAnsi="宋体" w:cs="宋体"/>
          <w:b/>
          <w:bCs/>
          <w:sz w:val="24"/>
        </w:rPr>
        <w:t xml:space="preserve">合同附件一：安全协议书</w:t>
      </w:r>
      <w:r/>
    </w:p>
    <w:p>
      <w:pPr>
        <w:ind w:firstLine="420"/>
        <w:spacing w:line="460" w:lineRule="exact"/>
        <w:rPr>
          <w:rFonts w:ascii="宋体" w:hAnsi="宋体" w:cs="宋体"/>
          <w:sz w:val="24"/>
        </w:rPr>
      </w:pPr>
      <w:r>
        <w:rPr>
          <w:rFonts w:hint="eastAsia" w:ascii="宋体" w:hAnsi="宋体" w:cs="宋体"/>
          <w:sz w:val="24"/>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p>
    <w:p>
      <w:pPr>
        <w:ind w:firstLine="420"/>
        <w:spacing w:line="460" w:lineRule="exact"/>
        <w:rPr>
          <w:rFonts w:ascii="宋体" w:hAnsi="宋体" w:cs="宋体"/>
          <w:sz w:val="24"/>
        </w:rPr>
      </w:pPr>
      <w:r>
        <w:rPr>
          <w:rFonts w:hint="eastAsia" w:ascii="宋体" w:hAnsi="宋体" w:cs="宋体"/>
          <w:sz w:val="24"/>
        </w:rPr>
        <w:t xml:space="preserve">经双方友好协商，签到安全协议如下：</w:t>
      </w:r>
      <w:r/>
    </w:p>
    <w:p>
      <w:pPr>
        <w:ind w:firstLine="420"/>
        <w:spacing w:line="460" w:lineRule="exact"/>
        <w:rPr>
          <w:rFonts w:ascii="宋体" w:hAnsi="宋体" w:cs="宋体"/>
          <w:sz w:val="24"/>
        </w:rPr>
      </w:pPr>
      <w:r>
        <w:rPr>
          <w:rFonts w:hint="eastAsia" w:ascii="宋体" w:hAnsi="宋体" w:cs="宋体"/>
          <w:sz w:val="24"/>
        </w:rPr>
        <w:t xml:space="preserve">一、乙方必须依据国家有关法律、法规建立健全考古项目的安全制度和操作规范、工作规范，负责对所属人员进行项目安全教育，使其了解文物保护法及相关操作规程、规范，并随时接受甲方和文物行政管理部门的安全监督、检查及抽查工作，同时须做好卫生健康保护措施：戴口罩、量体温等。</w:t>
      </w:r>
      <w:r/>
    </w:p>
    <w:p>
      <w:pPr>
        <w:ind w:firstLine="420"/>
        <w:spacing w:line="460" w:lineRule="exact"/>
        <w:rPr>
          <w:rFonts w:ascii="宋体" w:hAnsi="宋体" w:cs="宋体"/>
          <w:sz w:val="24"/>
        </w:rPr>
      </w:pPr>
      <w:r>
        <w:rPr>
          <w:rFonts w:hint="eastAsia" w:ascii="宋体" w:hAnsi="宋体" w:cs="宋体"/>
          <w:sz w:val="24"/>
        </w:rPr>
        <w:t xml:space="preserve">二、乙方在考古工作过程中，必须严格遵守土地建设方及甲方对考古现场的安全指挥。乙方对土地建设方及甲方提出的违反操作规程及安全的要求有权拒绝。</w:t>
      </w:r>
      <w:r/>
    </w:p>
    <w:p>
      <w:pPr>
        <w:ind w:firstLine="420"/>
        <w:spacing w:line="460" w:lineRule="exact"/>
        <w:rPr>
          <w:rFonts w:ascii="宋体" w:hAnsi="宋体" w:cs="宋体"/>
          <w:sz w:val="24"/>
        </w:rPr>
      </w:pPr>
      <w:r>
        <w:rPr>
          <w:rFonts w:hint="eastAsia" w:ascii="宋体" w:hAnsi="宋体" w:cs="宋体"/>
          <w:sz w:val="24"/>
        </w:rPr>
        <w:t xml:space="preserve">三、考古勘探工作完成后，乙方应及时将相关资料如数移交甲方保管，不得损坏或遗失。</w:t>
      </w:r>
      <w:r/>
    </w:p>
    <w:p>
      <w:pPr>
        <w:ind w:firstLine="420"/>
        <w:spacing w:line="460" w:lineRule="exact"/>
        <w:rPr>
          <w:rFonts w:ascii="宋体" w:hAnsi="宋体" w:cs="宋体"/>
          <w:sz w:val="24"/>
        </w:rPr>
      </w:pPr>
      <w:r>
        <w:rPr>
          <w:rFonts w:hint="eastAsia" w:ascii="宋体" w:hAnsi="宋体" w:cs="宋体"/>
          <w:sz w:val="24"/>
        </w:rPr>
        <w:t xml:space="preserve">四、考古勘探安全工作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420"/>
        <w:spacing w:line="460" w:lineRule="exact"/>
        <w:rPr>
          <w:rFonts w:ascii="宋体" w:hAnsi="宋体" w:cs="宋体"/>
          <w:sz w:val="24"/>
        </w:rPr>
      </w:pPr>
      <w:r>
        <w:rPr>
          <w:rFonts w:hint="eastAsia" w:ascii="宋体" w:hAnsi="宋体" w:cs="宋体"/>
          <w:sz w:val="24"/>
        </w:rPr>
        <w:t xml:space="preserve">五、乙方项目、生活范围内的人员和财产安全由乙方自行负责。</w:t>
      </w:r>
      <w:r/>
    </w:p>
    <w:p>
      <w:pPr>
        <w:ind w:firstLine="420"/>
        <w:spacing w:line="460" w:lineRule="exact"/>
        <w:rPr>
          <w:rFonts w:ascii="宋体" w:hAnsi="宋体" w:cs="宋体"/>
          <w:sz w:val="24"/>
        </w:rPr>
      </w:pPr>
      <w:r>
        <w:rPr>
          <w:rFonts w:hint="eastAsia" w:ascii="宋体" w:hAnsi="宋体" w:cs="宋体"/>
          <w:sz w:val="24"/>
        </w:rPr>
        <w:t xml:space="preserve">六、乙方应保障所属人员的劳动安全，自备必要的劳动防护用品，防止因自然、气候环境突变引起的各项事故。由乙方不具备劳动安全条件所引发的事故由乙方自行负责。</w:t>
      </w:r>
      <w:r/>
    </w:p>
    <w:p>
      <w:pPr>
        <w:ind w:firstLine="420"/>
        <w:spacing w:line="460" w:lineRule="exact"/>
        <w:rPr>
          <w:rFonts w:ascii="宋体" w:hAnsi="宋体" w:cs="宋体"/>
          <w:sz w:val="24"/>
        </w:rPr>
      </w:pPr>
      <w:r>
        <w:rPr>
          <w:rFonts w:hint="eastAsia" w:ascii="宋体" w:hAnsi="宋体" w:cs="宋体"/>
          <w:sz w:val="24"/>
        </w:rPr>
        <w:t xml:space="preserve">七、乙方人员出现生病、工伤情况由乙方自行解决和负责。</w:t>
      </w:r>
      <w:r/>
    </w:p>
    <w:p>
      <w:pPr>
        <w:ind w:firstLine="420"/>
        <w:spacing w:line="460" w:lineRule="exact"/>
        <w:rPr>
          <w:rFonts w:ascii="宋体" w:hAnsi="宋体" w:cs="宋体"/>
          <w:sz w:val="24"/>
        </w:rPr>
      </w:pPr>
      <w:r>
        <w:rPr>
          <w:rFonts w:hint="eastAsia" w:ascii="宋体" w:hAnsi="宋体" w:cs="宋体"/>
          <w:sz w:val="24"/>
        </w:rPr>
        <w:t xml:space="preserve">八、本协议一式肆份，双方各执贰份。经双方代表签字盖章后生效，未尽事宜，双方再行具体协商解决。</w:t>
      </w:r>
      <w:r/>
    </w:p>
    <w:p>
      <w:pPr>
        <w:ind w:firstLine="480"/>
        <w:spacing w:line="460" w:lineRule="exact"/>
        <w:rPr>
          <w:rFonts w:ascii="宋体" w:hAnsi="宋体" w:cs="宋体"/>
          <w:sz w:val="24"/>
        </w:rPr>
      </w:pPr>
      <w:r>
        <w:rPr>
          <w:rFonts w:hint="eastAsia" w:ascii="宋体" w:hAnsi="宋体" w:cs="宋体"/>
          <w:sz w:val="24"/>
        </w:rPr>
        <w:t xml:space="preserve">甲方：（盖章）                   乙方（中标供应商）：（盖章）</w:t>
      </w:r>
      <w:r/>
    </w:p>
    <w:p>
      <w:pPr>
        <w:ind w:firstLine="480"/>
        <w:spacing w:line="460" w:lineRule="exact"/>
        <w:rPr>
          <w:rFonts w:ascii="宋体" w:hAnsi="宋体" w:cs="宋体"/>
          <w:sz w:val="24"/>
        </w:rPr>
      </w:pPr>
      <w:r>
        <w:rPr>
          <w:rFonts w:hint="eastAsia" w:ascii="宋体" w:hAnsi="宋体" w:cs="宋体"/>
          <w:sz w:val="24"/>
        </w:rPr>
        <w:t xml:space="preserve">代表人：                         代表人：                 </w:t>
      </w:r>
      <w:r/>
    </w:p>
    <w:p>
      <w:pPr>
        <w:ind w:firstLine="480"/>
        <w:spacing w:line="460" w:lineRule="exact"/>
        <w:rPr>
          <w:rFonts w:ascii="宋体" w:hAnsi="宋体" w:cs="宋体"/>
          <w:sz w:val="24"/>
        </w:rPr>
      </w:pPr>
      <w:r>
        <w:rPr>
          <w:rFonts w:hint="eastAsia" w:ascii="宋体" w:hAnsi="宋体" w:cs="宋体"/>
          <w:sz w:val="24"/>
        </w:rPr>
        <w:t xml:space="preserve">联系电话：                       联系电话：               </w:t>
      </w:r>
      <w:r/>
    </w:p>
    <w:p>
      <w:pPr>
        <w:ind w:firstLine="480"/>
        <w:spacing w:line="460" w:lineRule="exact"/>
        <w:rPr>
          <w:rFonts w:ascii="黑体" w:hAnsi="宋体" w:eastAsia="黑体"/>
          <w:sz w:val="28"/>
          <w:szCs w:val="28"/>
        </w:rPr>
      </w:pPr>
      <w:r>
        <w:rPr>
          <w:rFonts w:hint="eastAsia" w:ascii="宋体" w:hAnsi="宋体" w:cs="宋体"/>
          <w:sz w:val="24"/>
        </w:rPr>
        <w:t xml:space="preserve">日期：                           日期：</w:t>
      </w:r>
      <w:r/>
    </w:p>
    <w:p>
      <w:pPr>
        <w:jc w:val="left"/>
        <w:widowControl/>
        <w:rPr>
          <w:rFonts w:asciiTheme="minorEastAsia" w:hAnsiTheme="minorEastAsia" w:eastAsiaTheme="minorEastAsia"/>
          <w:b/>
          <w:bCs/>
          <w:sz w:val="30"/>
          <w:szCs w:val="30"/>
        </w:rPr>
      </w:pPr>
      <w:r>
        <w:rPr>
          <w:rFonts w:asciiTheme="minorEastAsia" w:hAnsiTheme="minorEastAsia" w:eastAsiaTheme="minorEastAsia"/>
          <w:b/>
          <w:bCs/>
          <w:sz w:val="30"/>
          <w:szCs w:val="30"/>
        </w:rPr>
      </w:r>
      <w:r/>
    </w:p>
    <w:p>
      <w:pPr>
        <w:pStyle w:val="1094"/>
        <w:ind w:firstLine="0"/>
        <w:jc w:val="center"/>
        <w:rPr>
          <w:rFonts w:hint="eastAsia" w:ascii="宋体" w:hAnsi="宋体" w:eastAsia="宋体" w:cs="宋体"/>
          <w:color w:val="0d0d0d"/>
          <w:sz w:val="44"/>
          <w:szCs w:val="44"/>
        </w:rPr>
      </w:pPr>
      <w:r>
        <w:rPr>
          <w:rFonts w:hint="eastAsia" w:ascii="宋体" w:hAnsi="宋体" w:eastAsia="宋体" w:cs="宋体"/>
          <w:color w:val="0d0d0d"/>
          <w:sz w:val="44"/>
          <w:szCs w:val="44"/>
        </w:rPr>
        <w:t xml:space="preserve">第五章  采购需求</w:t>
      </w:r>
      <w:r/>
    </w:p>
    <w:p>
      <w:pPr>
        <w:jc w:val="left"/>
        <w:spacing w:line="360" w:lineRule="auto"/>
        <w:tabs>
          <w:tab w:val="left" w:pos="360" w:leader="none"/>
          <w:tab w:val="left" w:pos="900" w:leader="none"/>
        </w:tabs>
        <w:rPr>
          <w:rFonts w:hint="eastAsia" w:ascii="宋体" w:hAnsi="宋体" w:eastAsia="宋体" w:cs="宋体"/>
          <w:b/>
          <w:color w:val="000000" w:themeColor="text1"/>
          <w:sz w:val="24"/>
          <w:szCs w:val="32"/>
          <w:highlight w:val="white"/>
          <w14:textFill>
            <w14:solidFill>
              <w14:schemeClr w14:val="tx1"/>
            </w14:solidFill>
          </w14:textFill>
        </w:rPr>
        <w:outlineLvl w:val="1"/>
      </w:pPr>
      <w:r/>
      <w:bookmarkStart w:id="267" w:name="_Hlk83322999"/>
      <w:r>
        <w:rPr>
          <w:rFonts w:hint="eastAsia" w:ascii="宋体" w:hAnsi="宋体" w:eastAsia="宋体" w:cs="宋体"/>
          <w:b/>
          <w:color w:val="000000" w:themeColor="text1"/>
          <w:sz w:val="24"/>
          <w:szCs w:val="32"/>
          <w:highlight w:val="white"/>
          <w14:textFill>
            <w14:solidFill>
              <w14:schemeClr w14:val="tx1"/>
            </w14:solidFill>
          </w14:textFill>
        </w:rPr>
        <w:t xml:space="preserve">一、项目名称</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bookmarkStart w:id="268" w:name="_Toc228692491"/>
      <w:r/>
      <w:bookmarkStart w:id="269" w:name="_Toc228255651"/>
      <w:r/>
      <w:bookmarkStart w:id="270" w:name="_Toc227463267"/>
      <w:r>
        <w:rPr>
          <w:rFonts w:hint="eastAsia" w:ascii="宋体" w:hAnsi="宋体" w:cs="宋体"/>
          <w:color w:val="000000" w:themeColor="text1"/>
          <w:sz w:val="24"/>
          <w:szCs w:val="24"/>
          <w:highlight w:val="white"/>
          <w:lang w:eastAsia="zh-CN"/>
          <w14:textFill>
            <w14:solidFill>
              <w14:schemeClr w14:val="tx1"/>
            </w14:solidFill>
          </w14:textFill>
        </w:rPr>
        <w:t xml:space="preserve">城区工业园区军民路南侧项目、根思路南侧项目、阳江路南侧项目等地块考古调查、勘探服务项目</w:t>
      </w:r>
      <w:r>
        <w:rPr>
          <w:rFonts w:hint="eastAsia" w:ascii="宋体" w:hAnsi="宋体" w:eastAsia="宋体" w:cs="宋体"/>
          <w:color w:val="000000" w:themeColor="text1"/>
          <w:sz w:val="24"/>
          <w:szCs w:val="24"/>
          <w:highlight w:val="white"/>
          <w14:textFill>
            <w14:solidFill>
              <w14:schemeClr w14:val="tx1"/>
            </w14:solidFill>
          </w14:textFill>
        </w:rPr>
        <w:t xml:space="preserve">。</w:t>
      </w:r>
      <w:r/>
    </w:p>
    <w:p>
      <w:pPr>
        <w:jc w:val="left"/>
        <w:spacing w:line="360" w:lineRule="auto"/>
        <w:tabs>
          <w:tab w:val="left" w:pos="360" w:leader="none"/>
          <w:tab w:val="left" w:pos="900" w:leader="none"/>
        </w:tabs>
        <w:rPr>
          <w:rFonts w:hint="eastAsia" w:ascii="宋体" w:hAnsi="宋体" w:eastAsia="宋体" w:cs="宋体"/>
          <w:b/>
          <w:color w:val="000000" w:themeColor="text1"/>
          <w:sz w:val="24"/>
          <w:szCs w:val="32"/>
          <w:highlight w:val="white"/>
          <w14:textFill>
            <w14:solidFill>
              <w14:schemeClr w14:val="tx1"/>
            </w14:solidFill>
          </w14:textFill>
        </w:rPr>
        <w:outlineLvl w:val="1"/>
      </w:pPr>
      <w:r>
        <w:rPr>
          <w:rFonts w:hint="eastAsia" w:ascii="宋体" w:hAnsi="宋体" w:eastAsia="宋体" w:cs="宋体"/>
          <w:b/>
          <w:color w:val="000000" w:themeColor="text1"/>
          <w:sz w:val="24"/>
          <w:szCs w:val="32"/>
          <w:highlight w:val="white"/>
          <w14:textFill>
            <w14:solidFill>
              <w14:schemeClr w14:val="tx1"/>
            </w14:solidFill>
          </w14:textFill>
        </w:rPr>
        <w:t xml:space="preserve">二、服务范围</w:t>
      </w:r>
      <w:bookmarkEnd w:id="268"/>
      <w:r/>
      <w:bookmarkEnd w:id="269"/>
      <w:r/>
      <w:bookmarkEnd w:id="270"/>
      <w:r/>
      <w:r/>
    </w:p>
    <w:p>
      <w:pPr>
        <w:ind w:firstLine="480"/>
        <w:spacing w:line="360" w:lineRule="auto"/>
        <w:rPr>
          <w:rFonts w:hint="eastAsia" w:ascii="宋体" w:hAnsi="宋体" w:eastAsia="宋体" w:cs="宋体"/>
          <w:bCs/>
          <w:highlight w:val="white"/>
        </w:rPr>
      </w:pPr>
      <w:r/>
      <w:bookmarkStart w:id="271" w:name="_Toc228692492"/>
      <w:r/>
      <w:bookmarkStart w:id="272" w:name="_Toc227463269"/>
      <w:r/>
      <w:bookmarkStart w:id="273" w:name="_Hlk121354517"/>
      <w:r/>
      <w:bookmarkStart w:id="274" w:name="_Toc228255652"/>
      <w:r/>
      <w:bookmarkStart w:id="275" w:name="_Toc211917818"/>
      <w:r>
        <w:rPr>
          <w:rFonts w:hint="eastAsia" w:ascii="宋体" w:hAnsi="宋体" w:eastAsia="宋体" w:cs="宋体"/>
          <w:sz w:val="24"/>
          <w:szCs w:val="24"/>
        </w:rPr>
        <w:t xml:space="preserve">因政策规划，需对城区工业园区军民路南侧项目、根思路南侧项目、阳江路南侧项目等地块 (共约140000平方米)开展考古调查、勘探等服务（具体内容及要求详见招标文件）</w:t>
      </w:r>
      <w:r>
        <w:rPr>
          <w:rFonts w:hint="eastAsia" w:ascii="宋体" w:hAnsi="宋体" w:eastAsia="宋体" w:cs="宋体"/>
          <w:bCs/>
          <w:highlight w:val="white"/>
        </w:rPr>
        <w:t xml:space="preserve">。</w:t>
      </w:r>
      <w:r/>
    </w:p>
    <w:p>
      <w:pPr>
        <w:jc w:val="left"/>
        <w:spacing w:line="360" w:lineRule="auto"/>
        <w:tabs>
          <w:tab w:val="left" w:pos="360" w:leader="none"/>
          <w:tab w:val="left" w:pos="900" w:leader="none"/>
        </w:tabs>
        <w:rPr>
          <w:rFonts w:hint="eastAsia" w:ascii="宋体" w:hAnsi="宋体" w:eastAsia="宋体" w:cs="宋体"/>
          <w:b/>
          <w:color w:val="000000" w:themeColor="text1"/>
          <w:sz w:val="24"/>
          <w:szCs w:val="32"/>
          <w:highlight w:val="white"/>
          <w14:textFill>
            <w14:solidFill>
              <w14:schemeClr w14:val="tx1"/>
            </w14:solidFill>
          </w14:textFill>
        </w:rPr>
        <w:outlineLvl w:val="1"/>
      </w:pPr>
      <w:r>
        <w:rPr>
          <w:rFonts w:hint="eastAsia" w:ascii="宋体" w:hAnsi="宋体" w:eastAsia="宋体" w:cs="宋体"/>
          <w:b/>
          <w:color w:val="000000" w:themeColor="text1"/>
          <w:sz w:val="24"/>
          <w:szCs w:val="32"/>
          <w:highlight w:val="white"/>
          <w14:textFill>
            <w14:solidFill>
              <w14:schemeClr w14:val="tx1"/>
            </w14:solidFill>
          </w14:textFill>
        </w:rPr>
        <w:t xml:space="preserve">三、服务要求</w:t>
      </w:r>
      <w:r/>
    </w:p>
    <w:p>
      <w:pPr>
        <w:pStyle w:val="1093"/>
        <w:contextualSpacing/>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（一）项目进行考古调查、勘察的地块，中标供应商自行负责满足进场施工要求：</w:t>
      </w:r>
      <w:r/>
    </w:p>
    <w:p>
      <w:pPr>
        <w:pStyle w:val="1093"/>
        <w:contextualSpacing/>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包括但不限于以下工作内容：向省、市文物局申报项目地块文物勘探的开工资料；大型挖掘机械现场清表及拆迁后遗留的墙基、硬质化翻挖，并达到原土层状态，同时需达到文物勘探的验收标准，进行布点勘探调查；整个场地铺盖防尘网三遍；场内渣土平整。</w:t>
      </w:r>
      <w:r/>
    </w:p>
    <w:p>
      <w:pPr>
        <w:pStyle w:val="1093"/>
        <w:contextualSpacing/>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（二）对城区工业园区军民路南侧项目、根思路南侧项目、阳江路南侧项目等地块 (共约140000平方米)进行全面文物考古调查、勘探，负责编制《用地块范围考古调查、勘探工作报告》及相关手续办理。</w:t>
      </w:r>
      <w:r/>
    </w:p>
    <w:p>
      <w:pPr>
        <w:pStyle w:val="1093"/>
        <w:contextualSpacing/>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（三）负责编制《用地块范围考古调查、勘探工作报告》，协助省文物局组织的专家验收，同时根据专家验收意见报文物部门审批，最终获取省文物局盖章的《关于***地块文物保护工作意见》。</w:t>
      </w:r>
      <w:r/>
    </w:p>
    <w:p>
      <w:pPr>
        <w:pStyle w:val="1093"/>
        <w:contextualSpacing/>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（四）工作须按照国家文物局颁布的《田野考古工作规程》、《考古勘探工作规程（试行）》进行，所有的调查、勘探成果需科学规范、精确记录。</w:t>
      </w:r>
      <w:r/>
    </w:p>
    <w:p>
      <w:pPr>
        <w:pStyle w:val="1093"/>
        <w:contextualSpacing/>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五）服务标准：中标供应商须按照国家文物局颁布的《田野考古操作规程》及《考古勘探工作规程》（试行）完成各类文字记录、照相摄像记录、测绘记录，记录要求、标准及其归档等参照江苏省文物局考古调查、勘探项目验收之规定执行。</w:t>
      </w:r>
      <w:r/>
    </w:p>
    <w:p>
      <w:pPr>
        <w:pStyle w:val="1093"/>
        <w:contextualSpacing/>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六）在考古调查、勘探工作结束后，中标供应商须组织（采购人配合其出具相关手续）专家论证及报批工作并负责相关费用，并出具正式地块文物考古调查勘探报告和省文物局盖章的《关于***地块文物保护工作意见》。中标供应商须同步向采购人及文物部门提交符合部门条件与要求的考古调查、勘探成果报告纸质版叁套、电子版壹套，并一次性向文物部门指定的文物收藏机构移交本项目地块考古调查、勘探资料（纸质和电子版各壹套）及调查、勘探采集的文物标本。</w:t>
      </w:r>
      <w:r/>
    </w:p>
    <w:p>
      <w:pPr>
        <w:pStyle w:val="1093"/>
        <w:contextualSpacing/>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（七）本项目的实施必须符合国家、江苏省、有关规范、规程和相关技术文件，以及招标要求，提交成果资料应详实、准确、全面。</w:t>
      </w:r>
      <w:r/>
    </w:p>
    <w:p>
      <w:pPr>
        <w:pStyle w:val="1093"/>
        <w:contextualSpacing/>
        <w:ind w:firstLine="0"/>
        <w:jc w:val="left"/>
        <w:spacing w:line="360" w:lineRule="auto"/>
        <w:rPr>
          <w:rFonts w:hint="default" w:ascii="宋体" w:hAnsi="宋体" w:eastAsia="宋体" w:cs="宋体"/>
          <w:b/>
          <w:sz w:val="24"/>
          <w:szCs w:val="24"/>
          <w:highlight w:val="white"/>
          <w:lang w:val="en-US" w:eastAsia="zh-CN"/>
        </w:rPr>
      </w:pPr>
      <w:r>
        <w:rPr>
          <w:rFonts w:hint="eastAsia" w:ascii="宋体" w:hAnsi="宋体" w:eastAsia="宋体" w:cs="宋体"/>
          <w:b/>
          <w:sz w:val="24"/>
          <w:szCs w:val="24"/>
          <w:highlight w:val="white"/>
        </w:rPr>
        <w:t xml:space="preserve">四、</w:t>
      </w:r>
      <w:r>
        <w:rPr>
          <w:rFonts w:hint="eastAsia" w:ascii="宋体" w:hAnsi="宋体" w:cs="宋体"/>
          <w:b/>
          <w:sz w:val="24"/>
          <w:szCs w:val="24"/>
          <w:highlight w:val="white"/>
          <w:lang w:val="en-US" w:eastAsia="zh-CN"/>
        </w:rPr>
        <w:t xml:space="preserve">其他要求</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（一）采购人责任：</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1.负责考古调查、勘探项目的确认、协调等相关工作，积极协助中标供应商开展考古调查、勘探工作。</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2.协助中标供应商调查采访项目所在地块原始居民。</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3.及时向中标供应商提交该项目地块规划红线图。</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4.确保考古调查、勘探区域范围内无产权等纠纷。</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5.协助文物部门对考古调查、勘探工作现场开展指导检查、审核验收等工作。</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（二）中标供应商责任：</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1.接受文物部门组织的专家对本项目考古调查、勘探工作现场的指导检查、监督管理及审核验收。</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2.完成本项目考古调查、勘探工作后，及时整理并向文物部门指定的文物收藏机构移交有关考古调查、勘探资料及调查、勘探采集的文物标本，及时编制本项目考古调查、勘探工作成果报告，并对报告的准确性和科学性负责；根据文物部门所组织专家的意见与建议，及时修改完善本项目考古调查、勘探资料及本项目最终成果报告。</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3.自主开展本项目考古调查、勘探工作，实行独立核算，自负盈亏。</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4.在本项目考古调查、勘探工作期间，须严格遵守国家及省相关法律法规。</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5.自行解决本项目考古调查、勘探工作中的一切问题，包括但不限于工作人员及设备、交通、保险、医疗、税务、财务、吃住等。</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6.严格按照国家文物局颁布的《田野考古操作规程》《考古勘探工作规程》（试行），及文物部门的相关要求开展工作，确保考古调查、勘探工作的质量及最终成果的真实可靠；由于中标供应商自身原因出现漏探、误探、瞒探等问题，使地下文物受损，给采购人及省文物局带来负面影响和损失，由此产生的后果和责任由中标供应商负完全责任。</w:t>
      </w:r>
      <w:r/>
    </w:p>
    <w:p>
      <w:pPr>
        <w:ind w:firstLine="480"/>
        <w:spacing w:line="360" w:lineRule="auto"/>
        <w:rPr>
          <w:rFonts w:hint="eastAsia" w:ascii="宋体" w:hAnsi="宋体" w:eastAsia="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sz w:val="24"/>
          <w:szCs w:val="24"/>
        </w:rPr>
        <w:t xml:space="preserve">7.中标供应商负责本项目考古调查、勘探工作现场的安全保卫工作。在本项目考古调查、勘探工作期间，中标供应商调查、勘探发现古代遗迹、墓葬等遗存后，应立即采取有效保护措施，第一时间将所发现的古代遗存以清单形式书面通知采购人及文物部门，由采购人采取安全保卫措施。若中标供应商未及时通知，造成古代遗存的丢失、毁损，由中标供应商承担相应的民事及刑事责任</w:t>
      </w:r>
      <w:r>
        <w:rPr>
          <w:rFonts w:hint="eastAsia" w:ascii="宋体" w:hAnsi="宋体" w:eastAsia="宋体" w:cs="宋体"/>
          <w:bCs/>
          <w:sz w:val="24"/>
          <w:szCs w:val="24"/>
          <w:highlight w:val="white"/>
        </w:rPr>
        <w:t xml:space="preserve">。</w:t>
      </w:r>
      <w:r/>
    </w:p>
    <w:p>
      <w:pPr>
        <w:jc w:val="left"/>
        <w:spacing w:line="360" w:lineRule="auto"/>
        <w:tabs>
          <w:tab w:val="left" w:pos="360" w:leader="none"/>
          <w:tab w:val="left" w:pos="900" w:leader="none"/>
        </w:tabs>
        <w:rPr>
          <w:rFonts w:hint="eastAsia" w:ascii="宋体" w:hAnsi="宋体" w:eastAsia="宋体" w:cs="宋体"/>
          <w:b/>
          <w:color w:val="000000" w:themeColor="text1"/>
          <w:sz w:val="24"/>
          <w:szCs w:val="24"/>
          <w:highlight w:val="white"/>
          <w14:textFill>
            <w14:solidFill>
              <w14:schemeClr w14:val="tx1"/>
            </w14:solidFill>
          </w14:textFill>
        </w:rPr>
        <w:outlineLvl w:val="1"/>
      </w:pPr>
      <w:r>
        <w:rPr>
          <w:rFonts w:hint="eastAsia" w:ascii="宋体" w:hAnsi="宋体" w:eastAsia="宋体" w:cs="宋体"/>
          <w:b/>
          <w:color w:val="000000" w:themeColor="text1"/>
          <w:sz w:val="24"/>
          <w:szCs w:val="24"/>
          <w:highlight w:val="white"/>
          <w14:textFill>
            <w14:solidFill>
              <w14:schemeClr w14:val="tx1"/>
            </w14:solidFill>
          </w14:textFill>
        </w:rPr>
        <w:t xml:space="preserve">五、法律依据</w:t>
      </w:r>
      <w:r/>
    </w:p>
    <w:p>
      <w:pPr>
        <w:pStyle w:val="1093"/>
        <w:contextualSpacing/>
        <w:ind w:firstLine="723"/>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《中华人民共和国文物保护法》（2015年4月24日第四次修正）</w:t>
      </w:r>
      <w:r/>
    </w:p>
    <w:p>
      <w:pPr>
        <w:pStyle w:val="1093"/>
        <w:contextualSpacing/>
        <w:ind w:firstLine="723"/>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《江苏省文物保护条例》（2017年06月03日修改）</w:t>
      </w:r>
      <w:r/>
    </w:p>
    <w:p>
      <w:pPr>
        <w:pStyle w:val="1093"/>
        <w:contextualSpacing/>
        <w:ind w:firstLine="723"/>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《关于做好当前基本建设考古工作保障重大建设项目顺利实施的通知》（文物保函〔2015〕2885号）</w:t>
      </w:r>
      <w:r/>
    </w:p>
    <w:p>
      <w:pPr>
        <w:pStyle w:val="1093"/>
        <w:contextualSpacing/>
        <w:ind w:firstLine="723"/>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《关于进一步加强我省考古工作管理的意见》（苏文物保〔2020〕103号）</w:t>
      </w:r>
      <w:r/>
    </w:p>
    <w:p>
      <w:pPr>
        <w:pStyle w:val="1093"/>
        <w:contextualSpacing/>
        <w:ind w:firstLine="723"/>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《田野考古工作规程（修订版）》（国家文物局2009年）</w:t>
      </w:r>
      <w:r/>
    </w:p>
    <w:p>
      <w:pPr>
        <w:pStyle w:val="1093"/>
        <w:contextualSpacing/>
        <w:ind w:firstLine="723"/>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《考古勘探工作规程（试行）》（国家文物局2017年）</w:t>
      </w:r>
      <w:r/>
    </w:p>
    <w:p>
      <w:pPr>
        <w:pStyle w:val="1093"/>
        <w:contextualSpacing/>
        <w:ind w:firstLine="723"/>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《田野考古学（修订版）》（吉林大学出版社2014年）</w:t>
      </w:r>
      <w:r/>
    </w:p>
    <w:p>
      <w:pPr>
        <w:pStyle w:val="1093"/>
        <w:contextualSpacing/>
        <w:ind w:firstLine="723"/>
        <w:jc w:val="left"/>
        <w:spacing w:line="360" w:lineRule="auto"/>
        <w:rPr>
          <w:rFonts w:hint="eastAsia" w:ascii="宋体" w:hAnsi="宋体" w:eastAsia="宋体" w:cs="宋体"/>
          <w:b/>
          <w:sz w:val="24"/>
          <w:szCs w:val="24"/>
          <w:highlight w:val="white"/>
        </w:rPr>
      </w:pPr>
      <w:r>
        <w:rPr>
          <w:rFonts w:hint="eastAsia" w:ascii="宋体" w:hAnsi="宋体" w:eastAsia="宋体" w:cs="宋体"/>
          <w:bCs/>
          <w:sz w:val="24"/>
          <w:szCs w:val="24"/>
          <w:highlight w:val="white"/>
        </w:rPr>
        <w:t xml:space="preserve">如现行法律法规与上述法律法规有冲突，以最新的法律法规为准。</w:t>
      </w:r>
      <w:r/>
    </w:p>
    <w:p>
      <w:pPr>
        <w:spacing w:line="480" w:lineRule="exact"/>
        <w:rPr>
          <w:rFonts w:hint="eastAsia" w:ascii="宋体" w:hAnsi="宋体" w:eastAsia="宋体" w:cs="宋体"/>
          <w:bCs/>
          <w:color w:val="0000ff"/>
          <w:sz w:val="24"/>
          <w:szCs w:val="24"/>
          <w:highlight w:val="white"/>
        </w:rPr>
      </w:pPr>
      <w:r>
        <w:rPr>
          <w:rFonts w:hint="eastAsia" w:ascii="宋体" w:hAnsi="宋体" w:eastAsia="宋体" w:cs="宋体"/>
          <w:b/>
          <w:color w:val="auto"/>
          <w:sz w:val="24"/>
          <w:szCs w:val="24"/>
          <w:highlight w:val="white"/>
          <w:lang w:val="en-US" w:eastAsia="zh-CN"/>
        </w:rPr>
        <w:t xml:space="preserve">六、</w:t>
      </w:r>
      <w:r>
        <w:rPr>
          <w:rFonts w:hint="eastAsia" w:ascii="宋体" w:hAnsi="宋体" w:eastAsia="宋体" w:cs="宋体"/>
          <w:b/>
          <w:color w:val="auto"/>
          <w:sz w:val="24"/>
          <w:szCs w:val="24"/>
          <w:highlight w:val="white"/>
        </w:rPr>
        <w:t xml:space="preserve">服务时间：</w:t>
      </w:r>
      <w:r>
        <w:rPr>
          <w:rFonts w:hint="eastAsia" w:ascii="宋体" w:hAnsi="宋体" w:cs="宋体"/>
          <w:b/>
          <w:color w:val="auto"/>
          <w:sz w:val="24"/>
          <w:szCs w:val="24"/>
          <w:highlight w:val="white"/>
          <w:lang w:val="en-US" w:eastAsia="zh-CN"/>
        </w:rPr>
        <w:t xml:space="preserve">自签订合同之日起一年   </w:t>
      </w:r>
      <w:r>
        <w:rPr>
          <w:rFonts w:hint="eastAsia" w:ascii="宋体" w:hAnsi="宋体" w:cs="宋体"/>
          <w:b/>
          <w:color w:val="000000" w:themeColor="text1"/>
          <w:sz w:val="24"/>
          <w:szCs w:val="24"/>
          <w:highlight w:val="white"/>
          <w:lang w:val="en-US" w:eastAsia="zh-CN"/>
          <w14:textFill>
            <w14:solidFill>
              <w14:schemeClr w14:val="tx1"/>
            </w14:solidFill>
          </w14:textFill>
        </w:rPr>
        <w:t xml:space="preserve">                    </w:t>
      </w:r>
      <w:r/>
    </w:p>
    <w:p>
      <w:pPr>
        <w:jc w:val="left"/>
        <w:spacing w:line="360" w:lineRule="auto"/>
        <w:tabs>
          <w:tab w:val="left" w:pos="360" w:leader="none"/>
          <w:tab w:val="left" w:pos="900" w:leader="none"/>
        </w:tabs>
        <w:rPr>
          <w:rFonts w:hint="eastAsia" w:ascii="宋体" w:hAnsi="宋体" w:eastAsia="宋体" w:cs="宋体"/>
          <w:b/>
          <w:color w:val="000000" w:themeColor="text1"/>
          <w:sz w:val="24"/>
          <w:szCs w:val="24"/>
          <w:highlight w:val="white"/>
          <w14:textFill>
            <w14:solidFill>
              <w14:schemeClr w14:val="tx1"/>
            </w14:solidFill>
          </w14:textFill>
        </w:rPr>
        <w:outlineLvl w:val="1"/>
      </w:pPr>
      <w:r>
        <w:rPr>
          <w:rFonts w:hint="eastAsia" w:ascii="宋体" w:hAnsi="宋体" w:eastAsia="宋体" w:cs="宋体"/>
          <w:b/>
          <w:color w:val="000000" w:themeColor="text1"/>
          <w:sz w:val="24"/>
          <w:szCs w:val="24"/>
          <w:highlight w:val="white"/>
          <w14:textFill>
            <w14:solidFill>
              <w14:schemeClr w14:val="tx1"/>
            </w14:solidFill>
          </w14:textFill>
        </w:rPr>
        <w:t xml:space="preserve">七、商务要求</w:t>
      </w:r>
      <w:r/>
    </w:p>
    <w:p>
      <w:pPr>
        <w:ind w:firstLine="482"/>
        <w:keepLines w:val="0"/>
        <w:keepNext w:val="0"/>
        <w:pageBreakBefore w:val="0"/>
        <w:spacing w:line="480" w:lineRule="exact"/>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1.本项目最高限价</w:t>
      </w:r>
      <w:r>
        <w:rPr>
          <w:rFonts w:hint="eastAsia" w:ascii="宋体" w:hAnsi="宋体" w:cs="宋体"/>
          <w:b w:val="0"/>
          <w:bCs/>
          <w:color w:val="auto"/>
          <w:sz w:val="24"/>
          <w:szCs w:val="24"/>
          <w:highlight w:val="white"/>
          <w:lang w:val="en-US" w:eastAsia="zh-CN"/>
        </w:rPr>
        <w:t xml:space="preserve">72.5</w:t>
      </w:r>
      <w:r>
        <w:rPr>
          <w:rFonts w:hint="eastAsia" w:ascii="宋体" w:hAnsi="宋体" w:eastAsia="宋体" w:cs="宋体"/>
          <w:b w:val="0"/>
          <w:bCs/>
          <w:color w:val="auto"/>
          <w:sz w:val="24"/>
          <w:szCs w:val="24"/>
          <w:highlight w:val="white"/>
        </w:rPr>
        <w:t xml:space="preserve">万元。各投标单位报价时不得高于最高限价，否则将视为未满足招标文件的实质性要求，作无效投标文件。</w:t>
      </w:r>
      <w:r/>
    </w:p>
    <w:p>
      <w:pPr>
        <w:ind w:firstLine="480"/>
        <w:jc w:val="left"/>
        <w:spacing w:line="460" w:lineRule="exact"/>
        <w:widowControl/>
        <w:rPr>
          <w:rFonts w:hint="eastAsia" w:ascii="宋体" w:hAnsi="宋体" w:eastAsia="宋体" w:cs="宋体"/>
          <w:bCs/>
          <w:color w:val="auto"/>
          <w:sz w:val="24"/>
          <w:szCs w:val="24"/>
          <w:highlight w:val="white"/>
        </w:rPr>
      </w:pPr>
      <w:r>
        <w:rPr>
          <w:rFonts w:hint="eastAsia" w:ascii="宋体" w:hAnsi="宋体" w:cs="宋体"/>
          <w:bCs/>
          <w:color w:val="auto"/>
          <w:sz w:val="24"/>
          <w:szCs w:val="24"/>
          <w:highlight w:val="white"/>
          <w:lang w:val="en-US" w:eastAsia="zh-CN"/>
        </w:rPr>
        <w:t xml:space="preserve">2.</w:t>
      </w:r>
      <w:r>
        <w:rPr>
          <w:rFonts w:hint="eastAsia" w:ascii="宋体" w:hAnsi="宋体" w:eastAsia="宋体" w:cs="宋体"/>
          <w:bCs/>
          <w:color w:val="auto"/>
          <w:sz w:val="24"/>
          <w:szCs w:val="24"/>
          <w:highlight w:val="white"/>
        </w:rPr>
        <w:t xml:space="preserve">付款方式：</w:t>
      </w:r>
      <w:r>
        <w:rPr>
          <w:rFonts w:hint="eastAsia" w:ascii="宋体" w:hAnsi="宋体" w:eastAsia="宋体" w:cs="宋体"/>
          <w:b w:val="0"/>
          <w:bCs w:val="0"/>
          <w:color w:val="auto"/>
          <w:sz w:val="24"/>
          <w:szCs w:val="24"/>
        </w:rPr>
        <w:t xml:space="preserve">本合同为固定总价合同,合同总价不予调整，合同签订后完成全部工作量并与之相关的一切工作，出具符合招标人及省文物局、其他相关权威部门认可且满足土地上市要求的正式考古调查、勘探报告，并通过省文物局验收、批复后，由中标人，提供符合招标人财务规定的增值税专用发票后三十个工作日内一次性付清。（所有款项均不计利息）</w:t>
      </w:r>
      <w:r/>
    </w:p>
    <w:p>
      <w:pPr>
        <w:pStyle w:val="1093"/>
        <w:contextualSpacing/>
        <w:ind w:firstLine="420"/>
        <w:jc w:val="left"/>
        <w:keepLines w:val="0"/>
        <w:keepNext w:val="0"/>
        <w:pageBreakBefore w:val="0"/>
        <w:spacing w:line="480" w:lineRule="exact"/>
        <w:widowControl w:val="off"/>
        <w:rPr>
          <w:rFonts w:hint="eastAsia" w:ascii="宋体" w:hAnsi="宋体" w:eastAsia="宋体" w:cs="宋体"/>
          <w:bCs/>
          <w:sz w:val="24"/>
          <w:szCs w:val="24"/>
          <w:highlight w:val="white"/>
        </w:rPr>
      </w:pPr>
      <w:r>
        <w:rPr>
          <w:rFonts w:hint="eastAsia" w:ascii="宋体" w:hAnsi="宋体" w:cs="宋体"/>
          <w:bCs/>
          <w:sz w:val="24"/>
          <w:szCs w:val="24"/>
          <w:highlight w:val="white"/>
          <w:lang w:val="en-US" w:eastAsia="zh-CN"/>
        </w:rPr>
        <w:t xml:space="preserve">3.</w:t>
      </w:r>
      <w:r>
        <w:rPr>
          <w:rFonts w:hint="eastAsia" w:ascii="宋体" w:hAnsi="宋体" w:eastAsia="宋体" w:cs="宋体"/>
          <w:bCs/>
          <w:sz w:val="24"/>
          <w:szCs w:val="24"/>
          <w:highlight w:val="white"/>
        </w:rPr>
        <w:t xml:space="preserve">本项目报价包括采购文件所确定的采购范围相应服务的提供、人员（包括工资和补贴）、专家评审费、车旅费、住勤费、餐饮费、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93"/>
        <w:contextualSpacing/>
        <w:jc w:val="left"/>
        <w:keepLines w:val="0"/>
        <w:keepNext w:val="0"/>
        <w:pageBreakBefore w:val="0"/>
        <w:spacing w:line="480" w:lineRule="exact"/>
        <w:widowControl w:val="off"/>
        <w:rPr>
          <w:rFonts w:hint="eastAsia" w:ascii="宋体" w:hAnsi="宋体" w:eastAsia="宋体" w:cs="宋体"/>
          <w:bCs/>
          <w:sz w:val="24"/>
          <w:szCs w:val="24"/>
          <w:highlight w:val="white"/>
        </w:rPr>
      </w:pPr>
      <w:r>
        <w:rPr>
          <w:rFonts w:hint="eastAsia" w:ascii="宋体" w:hAnsi="宋体" w:cs="宋体"/>
          <w:bCs/>
          <w:sz w:val="24"/>
          <w:szCs w:val="24"/>
          <w:highlight w:val="white"/>
          <w:lang w:val="en-US" w:eastAsia="zh-CN"/>
        </w:rPr>
        <w:t xml:space="preserve">4</w:t>
      </w:r>
      <w:r>
        <w:rPr>
          <w:rFonts w:hint="eastAsia" w:ascii="宋体" w:hAnsi="宋体" w:eastAsia="宋体" w:cs="宋体"/>
          <w:bCs/>
          <w:sz w:val="24"/>
          <w:szCs w:val="24"/>
          <w:highlight w:val="white"/>
        </w:rPr>
        <w:t xml:space="preserve">.履约保证金：</w:t>
      </w:r>
      <w:r>
        <w:rPr>
          <w:rFonts w:hint="eastAsia" w:ascii="宋体" w:hAnsi="宋体" w:cs="宋体"/>
          <w:bCs/>
          <w:sz w:val="24"/>
          <w:szCs w:val="24"/>
          <w:highlight w:val="white"/>
          <w:lang w:val="en-US" w:eastAsia="zh-CN"/>
        </w:rPr>
        <w:t xml:space="preserve">中标</w:t>
      </w:r>
      <w:r>
        <w:rPr>
          <w:rFonts w:hint="eastAsia" w:ascii="宋体" w:hAnsi="宋体" w:eastAsia="宋体" w:cs="宋体"/>
          <w:bCs/>
          <w:sz w:val="24"/>
          <w:szCs w:val="24"/>
          <w:highlight w:val="white"/>
        </w:rPr>
        <w:t xml:space="preserve">价的</w:t>
      </w:r>
      <w:r>
        <w:rPr>
          <w:rFonts w:hint="eastAsia" w:ascii="宋体" w:hAnsi="宋体" w:cs="宋体"/>
          <w:bCs/>
          <w:sz w:val="24"/>
          <w:szCs w:val="24"/>
          <w:highlight w:val="white"/>
          <w:lang w:val="en-US" w:eastAsia="zh-CN"/>
        </w:rPr>
        <w:t xml:space="preserve">10</w:t>
      </w:r>
      <w:r>
        <w:rPr>
          <w:rFonts w:hint="eastAsia" w:ascii="宋体" w:hAnsi="宋体" w:eastAsia="宋体" w:cs="宋体"/>
          <w:bCs/>
          <w:sz w:val="24"/>
          <w:szCs w:val="24"/>
          <w:highlight w:val="white"/>
        </w:rPr>
        <w:t xml:space="preserve">%，合同签订前以银行转账、支票、汇票、本票或者金融机构、担保机构出具的保函、保险机构出具的保证保险等非现金形式提交甲方指定账户；项目验收合格后不计利息退还。</w:t>
      </w:r>
      <w:r/>
    </w:p>
    <w:p>
      <w:pPr>
        <w:pStyle w:val="1093"/>
        <w:contextualSpacing/>
        <w:jc w:val="left"/>
        <w:keepLines w:val="0"/>
        <w:keepNext w:val="0"/>
        <w:pageBreakBefore w:val="0"/>
        <w:spacing w:line="48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电子履约保函相关要求执行市财政局 国家金融监督管理总局泰州监管分局市地方金融监督管理局转发《江苏省财政厅 国家金融监督管理总局江苏监管局 江苏省地方金融监督管理局关于在全省政府采购领域推行电子履约保函（保险）的通知》。</w:t>
      </w:r>
      <w:r/>
    </w:p>
    <w:p>
      <w:pPr>
        <w:pStyle w:val="1093"/>
        <w:numPr>
          <w:ilvl w:val="0"/>
          <w:numId w:val="0"/>
        </w:numPr>
        <w:contextualSpacing/>
        <w:ind w:firstLine="480"/>
        <w:jc w:val="left"/>
        <w:keepLines w:val="0"/>
        <w:keepNext w:val="0"/>
        <w:pageBreakBefore w:val="0"/>
        <w:spacing w:line="480" w:lineRule="exact"/>
        <w:widowControl w:val="off"/>
        <w:rPr>
          <w:rFonts w:hint="eastAsia" w:ascii="宋体" w:hAnsi="宋体" w:eastAsia="宋体" w:cs="宋体"/>
          <w:bCs/>
          <w:sz w:val="24"/>
          <w:szCs w:val="24"/>
          <w:highlight w:val="white"/>
        </w:rPr>
      </w:pPr>
      <w:r>
        <w:rPr>
          <w:rFonts w:hint="eastAsia" w:ascii="宋体" w:hAnsi="宋体" w:cs="宋体"/>
          <w:bCs/>
          <w:sz w:val="24"/>
          <w:szCs w:val="24"/>
          <w:highlight w:val="white"/>
          <w:lang w:val="en-US" w:eastAsia="zh-CN"/>
        </w:rPr>
        <w:t xml:space="preserve">5.</w:t>
      </w:r>
      <w:r>
        <w:rPr>
          <w:rFonts w:hint="eastAsia" w:ascii="宋体" w:hAnsi="宋体" w:eastAsia="宋体" w:cs="宋体"/>
          <w:bCs/>
          <w:sz w:val="24"/>
          <w:szCs w:val="24"/>
          <w:highlight w:val="white"/>
        </w:rPr>
        <w:t xml:space="preserve">签订合同后，</w:t>
      </w:r>
      <w:r>
        <w:rPr>
          <w:rFonts w:hint="eastAsia" w:ascii="宋体" w:hAnsi="宋体" w:cs="宋体"/>
          <w:bCs/>
          <w:sz w:val="24"/>
          <w:szCs w:val="24"/>
          <w:highlight w:val="white"/>
          <w:lang w:eastAsia="zh-CN"/>
        </w:rPr>
        <w:t xml:space="preserve">中标</w:t>
      </w:r>
      <w:r>
        <w:rPr>
          <w:rFonts w:hint="eastAsia" w:ascii="宋体" w:hAnsi="宋体" w:eastAsia="宋体" w:cs="宋体"/>
          <w:bCs/>
          <w:sz w:val="24"/>
          <w:szCs w:val="24"/>
          <w:highlight w:val="white"/>
        </w:rPr>
        <w:t xml:space="preserve">供应商不得进行转包。未经采购人同意，</w:t>
      </w:r>
      <w:r>
        <w:rPr>
          <w:rFonts w:hint="eastAsia" w:ascii="宋体" w:hAnsi="宋体" w:cs="宋体"/>
          <w:bCs/>
          <w:sz w:val="24"/>
          <w:szCs w:val="24"/>
          <w:highlight w:val="white"/>
          <w:lang w:eastAsia="zh-CN"/>
        </w:rPr>
        <w:t xml:space="preserve">中标</w:t>
      </w:r>
      <w:r>
        <w:rPr>
          <w:rFonts w:hint="eastAsia" w:ascii="宋体" w:hAnsi="宋体" w:eastAsia="宋体" w:cs="宋体"/>
          <w:bCs/>
          <w:sz w:val="24"/>
          <w:szCs w:val="24"/>
          <w:highlight w:val="white"/>
        </w:rPr>
        <w:t xml:space="preserve">供应商不得采用分包的形式履行合同。否则采购人有权终止合同。转包或分包造成采购人损失的，</w:t>
      </w:r>
      <w:r>
        <w:rPr>
          <w:rFonts w:hint="eastAsia" w:ascii="宋体" w:hAnsi="宋体" w:cs="宋体"/>
          <w:bCs/>
          <w:sz w:val="24"/>
          <w:szCs w:val="24"/>
          <w:highlight w:val="white"/>
          <w:lang w:eastAsia="zh-CN"/>
        </w:rPr>
        <w:t xml:space="preserve">中标</w:t>
      </w:r>
      <w:r>
        <w:rPr>
          <w:rFonts w:hint="eastAsia" w:ascii="宋体" w:hAnsi="宋体" w:eastAsia="宋体" w:cs="宋体"/>
          <w:bCs/>
          <w:sz w:val="24"/>
          <w:szCs w:val="24"/>
          <w:highlight w:val="white"/>
        </w:rPr>
        <w:t xml:space="preserve">供应商还应承担相应赔偿责任。</w:t>
      </w:r>
      <w:bookmarkEnd w:id="267"/>
      <w:r/>
      <w:bookmarkEnd w:id="271"/>
      <w:r/>
      <w:bookmarkEnd w:id="272"/>
      <w:r/>
      <w:bookmarkEnd w:id="273"/>
      <w:r/>
      <w:bookmarkEnd w:id="274"/>
      <w:r/>
      <w:bookmarkEnd w:id="275"/>
      <w:r/>
      <w:r/>
    </w:p>
    <w:p>
      <w:pPr>
        <w:pStyle w:val="1093"/>
        <w:numPr>
          <w:ilvl w:val="0"/>
          <w:numId w:val="0"/>
        </w:numPr>
        <w:contextualSpacing/>
        <w:jc w:val="left"/>
        <w:spacing w:line="360" w:lineRule="auto"/>
        <w:rPr>
          <w:rFonts w:hint="eastAsia" w:ascii="宋体" w:hAnsi="宋体" w:eastAsia="宋体" w:cs="宋体"/>
          <w:b/>
          <w:bCs w:val="0"/>
          <w:sz w:val="24"/>
          <w:szCs w:val="24"/>
          <w:highlight w:val="white"/>
        </w:rPr>
      </w:pPr>
      <w:r>
        <w:rPr>
          <w:rFonts w:hint="eastAsia" w:ascii="宋体" w:hAnsi="宋体" w:eastAsia="宋体" w:cs="宋体"/>
          <w:b/>
          <w:bCs w:val="0"/>
          <w:sz w:val="24"/>
          <w:szCs w:val="24"/>
          <w:highlight w:val="white"/>
          <w:lang w:val="en-US" w:eastAsia="zh-CN"/>
        </w:rPr>
        <w:t xml:space="preserve">八</w:t>
      </w:r>
      <w:r>
        <w:rPr>
          <w:rFonts w:hint="eastAsia" w:ascii="宋体" w:hAnsi="宋体" w:eastAsia="宋体" w:cs="宋体"/>
          <w:b/>
          <w:bCs w:val="0"/>
          <w:sz w:val="24"/>
          <w:szCs w:val="24"/>
          <w:highlight w:val="white"/>
        </w:rPr>
        <w:t xml:space="preserve">、售后服务及其他</w:t>
      </w:r>
      <w:r/>
    </w:p>
    <w:p>
      <w:pPr>
        <w:pStyle w:val="1093"/>
        <w:numPr>
          <w:ilvl w:val="0"/>
          <w:numId w:val="0"/>
        </w:numPr>
        <w:contextualSpacing/>
        <w:ind w:firstLine="480"/>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val="en-US" w:eastAsia="zh-CN"/>
        </w:rPr>
        <w:t xml:space="preserve">1.</w:t>
      </w:r>
      <w:r>
        <w:rPr>
          <w:rFonts w:hint="eastAsia" w:ascii="宋体" w:hAnsi="宋体" w:eastAsia="宋体" w:cs="宋体"/>
          <w:bCs/>
          <w:sz w:val="24"/>
          <w:szCs w:val="24"/>
          <w:highlight w:val="white"/>
        </w:rPr>
        <w:t xml:space="preserve">供应商应加强对调查及评估资料的保管，调查评估工作全面完成后，应将采购单位认为必要的有关资料返还给采购单位；其余资料，供应商应按采购单位要求存档保管，并应及时满足采购单位对调查及评估资料有关调用、审核等要求。对档案管理不完善造成资料遗失的，采购单位有权解除合同并追究其相关责任。</w:t>
      </w:r>
      <w:r/>
    </w:p>
    <w:p>
      <w:pPr>
        <w:pStyle w:val="1093"/>
        <w:numPr>
          <w:ilvl w:val="0"/>
          <w:numId w:val="0"/>
        </w:numPr>
        <w:contextualSpacing/>
        <w:ind w:firstLine="480"/>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val="en-US" w:eastAsia="zh-CN"/>
        </w:rPr>
        <w:t xml:space="preserve">2.</w:t>
      </w:r>
      <w:r>
        <w:rPr>
          <w:rFonts w:hint="eastAsia" w:ascii="宋体" w:hAnsi="宋体" w:eastAsia="宋体" w:cs="宋体"/>
          <w:bCs/>
          <w:sz w:val="24"/>
          <w:szCs w:val="24"/>
          <w:highlight w:val="white"/>
        </w:rPr>
        <w:t xml:space="preserve">供应商须对采购单位提供的数据、材料及评估结果、检测结果具有保密义务，如发现有泄密行为，采购单位有权解除合同并追究其相关责任。</w:t>
      </w:r>
      <w:r/>
    </w:p>
    <w:p>
      <w:pPr>
        <w:pStyle w:val="1094"/>
        <w:ind w:firstLine="0"/>
        <w:rPr>
          <w:rFonts w:hint="eastAsia" w:ascii="宋体" w:hAnsi="宋体" w:eastAsia="宋体" w:cs="宋体"/>
          <w:color w:val="0d0d0d"/>
          <w:sz w:val="24"/>
          <w:szCs w:val="24"/>
        </w:rPr>
      </w:pPr>
      <w:r>
        <w:rPr>
          <w:rFonts w:hint="eastAsia" w:ascii="宋体" w:hAnsi="宋体" w:eastAsia="宋体" w:cs="宋体"/>
          <w:bCs/>
          <w:sz w:val="24"/>
          <w:szCs w:val="24"/>
          <w:highlight w:val="white"/>
          <w:lang w:val="en-US" w:eastAsia="zh-CN"/>
        </w:rPr>
        <w:t xml:space="preserve">3.</w:t>
      </w:r>
      <w:r>
        <w:rPr>
          <w:rFonts w:hint="eastAsia" w:ascii="宋体" w:hAnsi="宋体" w:eastAsia="宋体" w:cs="宋体"/>
          <w:bCs/>
          <w:sz w:val="24"/>
          <w:szCs w:val="24"/>
          <w:highlight w:val="white"/>
        </w:rPr>
        <w:t xml:space="preserve">如发现中标供应商出现弄虚作假行为的，采购单位有权解除合同并追究其相关责任</w:t>
      </w:r>
      <w:r>
        <w:rPr>
          <w:rFonts w:hint="eastAsia" w:ascii="宋体" w:hAnsi="宋体" w:eastAsia="宋体" w:cs="宋体"/>
          <w:bCs/>
          <w:sz w:val="24"/>
          <w:szCs w:val="24"/>
          <w:highlight w:val="white"/>
          <w:lang w:eastAsia="zh-CN"/>
        </w:rPr>
        <w:t xml:space="preserve">。</w:t>
      </w:r>
      <w:r/>
    </w:p>
    <w:p>
      <w:pPr>
        <w:pStyle w:val="1094"/>
        <w:ind w:firstLine="0"/>
        <w:jc w:val="center"/>
        <w:rPr>
          <w:rFonts w:hint="eastAsia" w:ascii="宋体" w:hAnsi="宋体" w:eastAsia="宋体" w:cs="宋体"/>
          <w:color w:val="0d0d0d"/>
          <w:sz w:val="44"/>
          <w:szCs w:val="44"/>
        </w:rPr>
      </w:pPr>
      <w:r>
        <w:rPr>
          <w:rFonts w:hint="eastAsia" w:ascii="宋体" w:hAnsi="宋体" w:eastAsia="宋体" w:cs="宋体"/>
          <w:color w:val="0d0d0d"/>
          <w:sz w:val="44"/>
          <w:szCs w:val="44"/>
        </w:rPr>
      </w:r>
      <w:r/>
    </w:p>
    <w:p>
      <w:r/>
      <w:r/>
    </w:p>
    <w:p>
      <w:pPr>
        <w:ind w:left="646"/>
        <w:jc w:val="center"/>
        <w:spacing w:line="520" w:lineRule="exact"/>
        <w:tabs>
          <w:tab w:val="left" w:pos="3240" w:leader="none"/>
        </w:tabs>
        <w:rPr>
          <w:rFonts w:hint="eastAsia" w:asciiTheme="minorEastAsia" w:hAnsiTheme="minorEastAsia" w:eastAsiaTheme="minorEastAsia"/>
          <w:b/>
          <w:sz w:val="30"/>
          <w:szCs w:val="30"/>
        </w:rPr>
        <w:outlineLvl w:val="0"/>
      </w:pPr>
      <w:r>
        <w:rPr>
          <w:rFonts w:hint="eastAsia" w:asciiTheme="minorEastAsia" w:hAnsiTheme="minorEastAsia" w:eastAsiaTheme="minorEastAsia"/>
          <w:b/>
          <w:sz w:val="30"/>
          <w:szCs w:val="30"/>
        </w:rPr>
      </w:r>
      <w:r/>
    </w:p>
    <w:p>
      <w:pPr>
        <w:ind w:left="646"/>
        <w:jc w:val="center"/>
        <w:spacing w:line="520" w:lineRule="exact"/>
        <w:tabs>
          <w:tab w:val="left" w:pos="3240" w:leader="none"/>
        </w:tabs>
        <w:rPr>
          <w:rFonts w:hint="eastAsia" w:asciiTheme="minorEastAsia" w:hAnsiTheme="minorEastAsia" w:eastAsiaTheme="minorEastAsia"/>
          <w:b/>
          <w:sz w:val="30"/>
          <w:szCs w:val="30"/>
        </w:rPr>
        <w:outlineLvl w:val="0"/>
      </w:pPr>
      <w:r>
        <w:rPr>
          <w:rFonts w:hint="eastAsia" w:asciiTheme="minorEastAsia" w:hAnsiTheme="minorEastAsia" w:eastAsiaTheme="minorEastAsia"/>
          <w:b/>
          <w:sz w:val="30"/>
          <w:szCs w:val="30"/>
        </w:rPr>
      </w:r>
      <w:r/>
    </w:p>
    <w:p>
      <w:pPr>
        <w:ind w:left="646"/>
        <w:jc w:val="center"/>
        <w:spacing w:line="520" w:lineRule="exact"/>
        <w:tabs>
          <w:tab w:val="left" w:pos="3240" w:leader="none"/>
        </w:tabs>
        <w:rPr>
          <w:rFonts w:hint="eastAsia" w:asciiTheme="minorEastAsia" w:hAnsiTheme="minorEastAsia" w:eastAsiaTheme="minorEastAsia"/>
          <w:b/>
          <w:sz w:val="30"/>
          <w:szCs w:val="30"/>
        </w:rPr>
        <w:outlineLvl w:val="0"/>
      </w:pPr>
      <w:r>
        <w:rPr>
          <w:rFonts w:hint="eastAsia" w:asciiTheme="minorEastAsia" w:hAnsiTheme="minorEastAsia" w:eastAsiaTheme="minorEastAsia"/>
          <w:b/>
          <w:sz w:val="30"/>
          <w:szCs w:val="30"/>
        </w:rPr>
      </w:r>
      <w:r/>
    </w:p>
    <w:p>
      <w:pPr>
        <w:ind w:left="646"/>
        <w:jc w:val="center"/>
        <w:spacing w:line="520" w:lineRule="exact"/>
        <w:tabs>
          <w:tab w:val="left" w:pos="3240" w:leader="none"/>
        </w:tabs>
        <w:rPr>
          <w:rFonts w:hint="eastAsia" w:asciiTheme="minorEastAsia" w:hAnsiTheme="minorEastAsia" w:eastAsiaTheme="minorEastAsia"/>
          <w:b/>
          <w:sz w:val="30"/>
          <w:szCs w:val="30"/>
        </w:rPr>
        <w:outlineLvl w:val="0"/>
      </w:pPr>
      <w:r>
        <w:rPr>
          <w:rFonts w:hint="eastAsia" w:asciiTheme="minorEastAsia" w:hAnsiTheme="minorEastAsia" w:eastAsiaTheme="minorEastAsia"/>
          <w:b/>
          <w:sz w:val="30"/>
          <w:szCs w:val="30"/>
        </w:rPr>
      </w:r>
      <w:r/>
    </w:p>
    <w:p>
      <w:pPr>
        <w:jc w:val="both"/>
        <w:spacing w:line="520" w:lineRule="exact"/>
        <w:tabs>
          <w:tab w:val="left" w:pos="3240" w:leader="none"/>
        </w:tabs>
        <w:rPr>
          <w:rFonts w:hint="eastAsia" w:asciiTheme="minorEastAsia" w:hAnsiTheme="minorEastAsia" w:eastAsiaTheme="minorEastAsia"/>
          <w:b/>
          <w:sz w:val="30"/>
          <w:szCs w:val="30"/>
        </w:rPr>
        <w:outlineLvl w:val="0"/>
      </w:pPr>
      <w:r>
        <w:rPr>
          <w:rFonts w:hint="eastAsia" w:asciiTheme="minorEastAsia" w:hAnsiTheme="minorEastAsia" w:eastAsiaTheme="minorEastAsia"/>
          <w:b/>
          <w:sz w:val="30"/>
          <w:szCs w:val="30"/>
        </w:rPr>
      </w:r>
      <w:r/>
    </w:p>
    <w:p>
      <w:pPr>
        <w:ind w:left="646"/>
        <w:jc w:val="center"/>
        <w:spacing w:line="520" w:lineRule="exact"/>
        <w:tabs>
          <w:tab w:val="left" w:pos="3240" w:leader="none"/>
        </w:tabs>
        <w:rPr>
          <w:rFonts w:asciiTheme="minorEastAsia" w:hAnsiTheme="minorEastAsia" w:eastAsiaTheme="minorEastAsia"/>
          <w:b/>
          <w:sz w:val="30"/>
          <w:szCs w:val="30"/>
        </w:rPr>
        <w:outlineLvl w:val="0"/>
      </w:pPr>
      <w:r>
        <w:rPr>
          <w:rFonts w:hint="eastAsia" w:asciiTheme="minorEastAsia" w:hAnsiTheme="minorEastAsia" w:eastAsiaTheme="minorEastAsia"/>
          <w:b/>
          <w:sz w:val="30"/>
          <w:szCs w:val="30"/>
        </w:rPr>
        <w:t xml:space="preserve">第六章 投标文件的编制要求及参考格式</w:t>
      </w:r>
      <w:bookmarkEnd w:id="246"/>
      <w:r/>
      <w:bookmarkEnd w:id="247"/>
      <w:r/>
      <w:bookmarkEnd w:id="248"/>
      <w:r/>
      <w:bookmarkEnd w:id="249"/>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Start w:id="276" w:name="_Hlt26955039"/>
      <w:r/>
      <w:bookmarkEnd w:id="276"/>
      <w:r/>
      <w:bookmarkStart w:id="277" w:name="_Hlt26671244"/>
      <w:r/>
      <w:bookmarkEnd w:id="277"/>
      <w:r/>
      <w:bookmarkStart w:id="278" w:name="_Toc49090576"/>
      <w:r/>
      <w:bookmarkStart w:id="279" w:name="_Toc26554094"/>
      <w:r/>
      <w:bookmarkStart w:id="280" w:name="_Toc282446331"/>
      <w:r/>
      <w:bookmarkStart w:id="281" w:name="_Toc120614282"/>
      <w:r/>
      <w:bookmarkStart w:id="282" w:name="_Toc288030359"/>
      <w:r/>
      <w:bookmarkStart w:id="283" w:name="_Toc426469932"/>
      <w:r/>
      <w:r/>
    </w:p>
    <w:p>
      <w:pPr>
        <w:ind w:left="646"/>
        <w:jc w:val="center"/>
        <w:spacing w:line="520" w:lineRule="exact"/>
        <w:tabs>
          <w:tab w:val="left" w:pos="3240" w:leader="none"/>
        </w:tabs>
        <w:rPr>
          <w:rFonts w:asciiTheme="minorEastAsia" w:hAnsiTheme="minorEastAsia" w:eastAsiaTheme="minorEastAsia"/>
          <w:b/>
          <w:sz w:val="30"/>
          <w:szCs w:val="30"/>
        </w:rPr>
        <w:outlineLvl w:val="0"/>
      </w:pPr>
      <w:r>
        <w:rPr>
          <w:rFonts w:asciiTheme="minorEastAsia" w:hAnsiTheme="minorEastAsia" w:eastAsiaTheme="minorEastAsia"/>
          <w:b/>
          <w:sz w:val="30"/>
          <w:szCs w:val="30"/>
        </w:rPr>
      </w:r>
      <w:r/>
    </w:p>
    <w:p>
      <w:pPr>
        <w:ind w:firstLine="562"/>
        <w:spacing w:line="500" w:lineRule="exact"/>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投标文件的组成</w:t>
      </w:r>
      <w:r/>
    </w:p>
    <w:p>
      <w:pPr>
        <w:ind w:firstLine="480"/>
        <w:spacing w:line="500" w:lineRule="exact"/>
        <w:rPr>
          <w:rFonts w:ascii="宋体" w:hAnsi="宋体"/>
          <w:sz w:val="24"/>
          <w:szCs w:val="24"/>
        </w:rPr>
      </w:pPr>
      <w:r/>
      <w:bookmarkStart w:id="284" w:name="_Toc426469933"/>
      <w:r>
        <w:rPr>
          <w:rFonts w:ascii="宋体" w:hAnsi="宋体"/>
          <w:sz w:val="24"/>
          <w:szCs w:val="24"/>
        </w:rPr>
        <w:t xml:space="preserve">见本招标文件第二章</w:t>
      </w:r>
      <w:r>
        <w:rPr>
          <w:rFonts w:hint="eastAsia" w:ascii="宋体" w:hAnsi="宋体"/>
          <w:sz w:val="24"/>
          <w:szCs w:val="24"/>
        </w:rPr>
        <w:t xml:space="preserve">3.1条。</w:t>
      </w:r>
      <w:r/>
    </w:p>
    <w:p>
      <w:pPr>
        <w:ind w:firstLine="562"/>
        <w:spacing w:line="50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投标文件的编制内容及编制要求</w:t>
      </w:r>
      <w:bookmarkEnd w:id="284"/>
      <w:r/>
      <w:r/>
    </w:p>
    <w:p>
      <w:pPr>
        <w:ind w:firstLine="562"/>
        <w:spacing w:line="500" w:lineRule="exact"/>
        <w:rPr>
          <w:rFonts w:ascii="宋体" w:hAnsi="宋体"/>
          <w:b/>
          <w:sz w:val="24"/>
          <w:szCs w:val="24"/>
        </w:rPr>
      </w:pPr>
      <w:r>
        <w:rPr>
          <w:rFonts w:ascii="宋体" w:hAnsi="宋体"/>
          <w:b/>
          <w:sz w:val="24"/>
          <w:szCs w:val="24"/>
        </w:rPr>
        <w:t xml:space="preserve">2.1</w:t>
      </w:r>
      <w:r>
        <w:rPr>
          <w:rFonts w:hint="eastAsia" w:ascii="宋体" w:hAnsi="宋体" w:cs="宋体"/>
          <w:b/>
          <w:sz w:val="24"/>
          <w:szCs w:val="24"/>
        </w:rPr>
        <w:t xml:space="preserve">开标一览表</w:t>
      </w:r>
      <w:r/>
    </w:p>
    <w:p>
      <w:pPr>
        <w:ind w:firstLine="480"/>
        <w:spacing w:line="500" w:lineRule="exact"/>
        <w:rPr>
          <w:rFonts w:ascii="宋体" w:hAnsi="宋体"/>
          <w:sz w:val="24"/>
          <w:szCs w:val="24"/>
        </w:rPr>
      </w:pPr>
      <w:r>
        <w:rPr>
          <w:rFonts w:ascii="宋体" w:hAnsi="宋体"/>
          <w:sz w:val="24"/>
          <w:szCs w:val="24"/>
        </w:rPr>
        <w:t xml:space="preserve">2.1.1 </w:t>
      </w:r>
      <w:r>
        <w:rPr>
          <w:rFonts w:hint="eastAsia" w:ascii="宋体" w:hAnsi="宋体" w:cs="宋体"/>
          <w:sz w:val="24"/>
          <w:szCs w:val="24"/>
        </w:rPr>
        <w:t xml:space="preserve">投标人应按表中格式完整、清晰、正确填写；</w:t>
      </w:r>
      <w:r/>
    </w:p>
    <w:p>
      <w:pPr>
        <w:ind w:firstLine="480"/>
        <w:spacing w:line="500" w:lineRule="exact"/>
        <w:rPr>
          <w:rFonts w:ascii="宋体" w:hAnsi="宋体"/>
          <w:sz w:val="24"/>
          <w:szCs w:val="24"/>
        </w:rPr>
      </w:pPr>
      <w:r>
        <w:rPr>
          <w:rFonts w:ascii="宋体" w:hAnsi="宋体"/>
          <w:sz w:val="24"/>
          <w:szCs w:val="24"/>
        </w:rPr>
        <w:t xml:space="preserve">2.1.2</w:t>
      </w:r>
      <w:r>
        <w:rPr>
          <w:rFonts w:hint="eastAsia" w:ascii="宋体" w:hAnsi="宋体" w:cs="宋体"/>
          <w:sz w:val="24"/>
          <w:szCs w:val="24"/>
        </w:rPr>
        <w:t xml:space="preserve">开标一览表中的价格应与投标文件中</w:t>
      </w:r>
      <w:bookmarkStart w:id="285" w:name="OLE_LINK8"/>
      <w:r>
        <w:rPr>
          <w:rFonts w:hint="eastAsia" w:ascii="宋体" w:hAnsi="宋体" w:cs="宋体"/>
          <w:sz w:val="24"/>
          <w:szCs w:val="24"/>
        </w:rPr>
        <w:t xml:space="preserve">投标报价明细表</w:t>
      </w:r>
      <w:bookmarkEnd w:id="285"/>
      <w:r>
        <w:rPr>
          <w:rFonts w:hint="eastAsia" w:ascii="宋体" w:hAnsi="宋体" w:cs="宋体"/>
          <w:sz w:val="24"/>
          <w:szCs w:val="24"/>
        </w:rPr>
        <w:t xml:space="preserve">中的价格一致。</w:t>
      </w:r>
      <w:r/>
    </w:p>
    <w:p>
      <w:pPr>
        <w:ind w:firstLine="480"/>
        <w:spacing w:line="50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3</w:t>
      </w:r>
      <w:r>
        <w:rPr>
          <w:rFonts w:hint="eastAsia" w:ascii="宋体" w:hAnsi="宋体" w:cs="宋体"/>
          <w:sz w:val="24"/>
          <w:szCs w:val="24"/>
        </w:rPr>
        <w:t xml:space="preserve">开标一览表格式见附件。</w:t>
      </w:r>
      <w:r/>
    </w:p>
    <w:p>
      <w:pPr>
        <w:ind w:firstLine="562"/>
        <w:spacing w:line="500" w:lineRule="exact"/>
        <w:rPr>
          <w:rFonts w:ascii="宋体" w:hAnsi="宋体"/>
          <w:b/>
          <w:sz w:val="24"/>
          <w:szCs w:val="24"/>
        </w:rPr>
      </w:pPr>
      <w:r>
        <w:rPr>
          <w:rFonts w:ascii="宋体" w:hAnsi="宋体"/>
          <w:b/>
          <w:sz w:val="24"/>
          <w:szCs w:val="24"/>
        </w:rPr>
        <w:t xml:space="preserve">2.2 </w:t>
      </w:r>
      <w:r>
        <w:rPr>
          <w:rFonts w:hint="eastAsia" w:ascii="宋体" w:hAnsi="宋体" w:cs="宋体"/>
          <w:b/>
          <w:sz w:val="24"/>
          <w:szCs w:val="24"/>
        </w:rPr>
        <w:t xml:space="preserve">投标函</w:t>
      </w:r>
      <w:r/>
    </w:p>
    <w:p>
      <w:pPr>
        <w:ind w:firstLine="480"/>
        <w:spacing w:line="500" w:lineRule="exact"/>
        <w:rPr>
          <w:rFonts w:ascii="宋体" w:hAnsi="宋体"/>
          <w:sz w:val="24"/>
          <w:szCs w:val="24"/>
        </w:rPr>
      </w:pPr>
      <w:r>
        <w:rPr>
          <w:rFonts w:ascii="宋体" w:hAnsi="宋体"/>
          <w:sz w:val="24"/>
          <w:szCs w:val="24"/>
        </w:rPr>
        <w:t xml:space="preserve">2.2.1</w:t>
      </w:r>
      <w:r>
        <w:rPr>
          <w:rFonts w:hint="eastAsia" w:ascii="宋体" w:hAnsi="宋体" w:cs="宋体"/>
          <w:sz w:val="24"/>
          <w:szCs w:val="24"/>
        </w:rPr>
        <w:t xml:space="preserve">投标人应按表中规定格式完整、清晰、正确填写；</w:t>
      </w:r>
      <w:r/>
    </w:p>
    <w:p>
      <w:pPr>
        <w:ind w:firstLine="480"/>
        <w:spacing w:line="500" w:lineRule="exact"/>
        <w:rPr>
          <w:rFonts w:ascii="宋体" w:hAnsi="宋体" w:cs="宋体"/>
          <w:sz w:val="24"/>
          <w:szCs w:val="24"/>
        </w:rPr>
      </w:pPr>
      <w:r>
        <w:rPr>
          <w:rFonts w:ascii="宋体" w:hAnsi="宋体"/>
          <w:sz w:val="24"/>
          <w:szCs w:val="24"/>
        </w:rPr>
        <w:t xml:space="preserve">2.2.2</w:t>
      </w:r>
      <w:r>
        <w:rPr>
          <w:rFonts w:hint="eastAsia" w:ascii="宋体" w:hAnsi="宋体" w:cs="宋体"/>
          <w:sz w:val="24"/>
          <w:szCs w:val="24"/>
        </w:rPr>
        <w:t xml:space="preserve">投标函必须加盖投标人公章并经法定代表人签字或签章。</w:t>
      </w:r>
      <w:r/>
    </w:p>
    <w:p>
      <w:pPr>
        <w:ind w:firstLine="562"/>
        <w:spacing w:line="500" w:lineRule="exact"/>
        <w:rPr>
          <w:rFonts w:ascii="宋体" w:hAnsi="宋体"/>
          <w:b/>
          <w:sz w:val="24"/>
          <w:szCs w:val="24"/>
        </w:rPr>
      </w:pPr>
      <w:r>
        <w:rPr>
          <w:rFonts w:hint="eastAsia" w:ascii="宋体" w:hAnsi="宋体"/>
          <w:b/>
          <w:sz w:val="24"/>
          <w:szCs w:val="24"/>
        </w:rPr>
        <w:t xml:space="preserve">2.3投标报价明细表及分析说明</w:t>
      </w:r>
      <w:r/>
    </w:p>
    <w:p>
      <w:pPr>
        <w:ind w:firstLine="480"/>
        <w:spacing w:line="500" w:lineRule="exact"/>
        <w:rPr>
          <w:rFonts w:ascii="宋体" w:hAnsi="宋体" w:cs="宋体"/>
          <w:sz w:val="24"/>
          <w:szCs w:val="24"/>
        </w:rPr>
      </w:pPr>
      <w:r>
        <w:rPr>
          <w:rFonts w:hint="eastAsia" w:ascii="宋体" w:hAnsi="宋体"/>
          <w:sz w:val="24"/>
          <w:szCs w:val="24"/>
        </w:rPr>
        <w:t xml:space="preserve">2.3.1投标报价明细表及分析说明格式完整、清晰、正确填写，表格中内容细分，</w:t>
      </w:r>
      <w:r>
        <w:rPr>
          <w:rFonts w:hint="eastAsia" w:ascii="宋体" w:hAnsi="宋体" w:cs="宋体"/>
          <w:sz w:val="24"/>
          <w:szCs w:val="24"/>
        </w:rPr>
        <w:t xml:space="preserve">须加盖投标人公章并经法定代表人签字或签章。</w:t>
      </w:r>
      <w:r/>
    </w:p>
    <w:p>
      <w:pPr>
        <w:ind w:firstLine="480"/>
        <w:spacing w:line="500" w:lineRule="exact"/>
        <w:rPr>
          <w:rFonts w:ascii="宋体" w:hAnsi="宋体"/>
          <w:sz w:val="24"/>
          <w:szCs w:val="24"/>
        </w:rPr>
      </w:pPr>
      <w:r>
        <w:rPr>
          <w:rFonts w:hint="eastAsia" w:ascii="宋体" w:hAnsi="宋体"/>
          <w:sz w:val="24"/>
          <w:szCs w:val="24"/>
        </w:rPr>
        <w:t xml:space="preserve">2.3.2格式自拟。</w:t>
      </w:r>
      <w:r/>
    </w:p>
    <w:p>
      <w:pPr>
        <w:ind w:firstLine="562"/>
        <w:spacing w:line="500" w:lineRule="exact"/>
        <w:rPr>
          <w:rFonts w:ascii="宋体" w:hAnsi="宋体"/>
          <w:b/>
          <w:sz w:val="24"/>
          <w:szCs w:val="24"/>
        </w:rPr>
      </w:pPr>
      <w:r>
        <w:rPr>
          <w:rFonts w:hint="eastAsia" w:ascii="宋体" w:hAnsi="宋体"/>
          <w:b/>
          <w:sz w:val="24"/>
          <w:szCs w:val="24"/>
        </w:rPr>
        <w:t xml:space="preserve">2.4投标人资格条件证明文件</w:t>
      </w:r>
      <w:r/>
    </w:p>
    <w:p>
      <w:pPr>
        <w:ind w:firstLine="480"/>
        <w:spacing w:line="500" w:lineRule="exact"/>
        <w:rPr>
          <w:rFonts w:ascii="宋体" w:hAnsi="宋体"/>
          <w:sz w:val="24"/>
          <w:szCs w:val="24"/>
        </w:rPr>
      </w:pPr>
      <w:r>
        <w:rPr>
          <w:rFonts w:hint="eastAsia" w:ascii="宋体" w:hAnsi="宋体" w:cs="宋体"/>
          <w:sz w:val="24"/>
          <w:szCs w:val="24"/>
        </w:rPr>
        <w:t xml:space="preserve">（</w:t>
      </w:r>
      <w:r>
        <w:rPr>
          <w:rFonts w:ascii="宋体" w:hAnsi="宋体"/>
          <w:sz w:val="24"/>
          <w:szCs w:val="24"/>
        </w:rPr>
        <w:t xml:space="preserve">1</w:t>
      </w:r>
      <w:r>
        <w:rPr>
          <w:rFonts w:hint="eastAsia" w:ascii="宋体" w:hAnsi="宋体" w:cs="宋体"/>
          <w:sz w:val="24"/>
          <w:szCs w:val="24"/>
        </w:rPr>
        <w:t xml:space="preserve">）投标人基本资格条件承诺函；</w:t>
      </w:r>
      <w:r/>
    </w:p>
    <w:p>
      <w:pPr>
        <w:ind w:firstLine="480"/>
        <w:spacing w:line="500" w:lineRule="exact"/>
        <w:rPr>
          <w:rFonts w:ascii="宋体" w:hAnsi="宋体" w:cs="宋体"/>
          <w:sz w:val="24"/>
          <w:szCs w:val="24"/>
        </w:rPr>
      </w:pPr>
      <w:r>
        <w:rPr>
          <w:rFonts w:hint="eastAsia" w:ascii="宋体" w:hAnsi="宋体" w:cs="宋体"/>
          <w:sz w:val="24"/>
          <w:szCs w:val="24"/>
        </w:rPr>
        <w:t xml:space="preserve">（</w:t>
      </w:r>
      <w:r>
        <w:rPr>
          <w:rFonts w:ascii="宋体" w:hAnsi="宋体"/>
          <w:sz w:val="24"/>
          <w:szCs w:val="24"/>
        </w:rPr>
        <w:t xml:space="preserve">2</w:t>
      </w:r>
      <w:r>
        <w:rPr>
          <w:rFonts w:hint="eastAsia" w:ascii="宋体" w:hAnsi="宋体" w:cs="宋体"/>
          <w:sz w:val="24"/>
          <w:szCs w:val="24"/>
        </w:rPr>
        <w:t xml:space="preserve">）招标文件要求的其他资格条件证明材料：具有有效的营业执照等（附证书的扫描件）。</w:t>
      </w:r>
      <w:r/>
    </w:p>
    <w:p>
      <w:pPr>
        <w:ind w:firstLine="562"/>
        <w:spacing w:line="50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5采购需求</w:t>
      </w:r>
      <w:r>
        <w:rPr>
          <w:rFonts w:hint="eastAsia" w:ascii="宋体" w:hAnsi="宋体" w:cs="宋体"/>
          <w:b/>
          <w:sz w:val="24"/>
          <w:szCs w:val="24"/>
        </w:rPr>
        <w:t xml:space="preserve">响应表</w:t>
      </w:r>
      <w:r/>
    </w:p>
    <w:p>
      <w:pPr>
        <w:ind w:firstLine="480"/>
        <w:spacing w:line="500" w:lineRule="exact"/>
        <w:rPr>
          <w:rFonts w:ascii="宋体" w:hAnsi="宋体"/>
          <w:b/>
          <w:sz w:val="24"/>
          <w:szCs w:val="24"/>
        </w:rPr>
      </w:pPr>
      <w:r>
        <w:rPr>
          <w:rFonts w:hint="eastAsia" w:ascii="宋体" w:hAnsi="宋体"/>
          <w:sz w:val="24"/>
          <w:szCs w:val="24"/>
        </w:rPr>
        <w:t xml:space="preserve">投标人应仔细阅读招标文件五章采购需求，结合自身的实际情况，如实编制，格式自拟。</w:t>
      </w:r>
      <w:r>
        <w:rPr>
          <w:rFonts w:hint="eastAsia" w:ascii="宋体" w:hAnsi="宋体"/>
          <w:b/>
          <w:sz w:val="24"/>
          <w:szCs w:val="24"/>
        </w:rPr>
        <w:t xml:space="preserve">采购需求响应表须详细说明实际提供的服务及其他采购需求中相关要求的响应情况。</w:t>
      </w:r>
      <w:r/>
    </w:p>
    <w:p>
      <w:pPr>
        <w:ind w:firstLine="562"/>
        <w:spacing w:line="500" w:lineRule="exact"/>
        <w:rPr>
          <w:rFonts w:ascii="宋体" w:hAnsi="宋体" w:cs="宋体"/>
          <w:b/>
          <w:sz w:val="24"/>
          <w:szCs w:val="24"/>
        </w:rPr>
      </w:pPr>
      <w:r>
        <w:rPr>
          <w:rFonts w:ascii="宋体" w:hAnsi="宋体"/>
          <w:b/>
          <w:sz w:val="24"/>
          <w:szCs w:val="24"/>
        </w:rPr>
        <w:t xml:space="preserve">2.</w:t>
      </w:r>
      <w:r>
        <w:rPr>
          <w:rFonts w:hint="eastAsia" w:ascii="宋体" w:hAnsi="宋体"/>
          <w:b/>
          <w:sz w:val="24"/>
          <w:szCs w:val="24"/>
        </w:rPr>
        <w:t xml:space="preserve">6</w:t>
      </w:r>
      <w:r>
        <w:rPr>
          <w:rFonts w:hint="eastAsia" w:ascii="宋体" w:hAnsi="宋体" w:cs="宋体"/>
          <w:b/>
          <w:sz w:val="24"/>
          <w:szCs w:val="24"/>
        </w:rPr>
        <w:t xml:space="preserve">投标人认为应列入投标文件的其他材料</w:t>
      </w:r>
      <w:r/>
    </w:p>
    <w:p>
      <w:pPr>
        <w:ind w:firstLine="480"/>
        <w:spacing w:line="500" w:lineRule="exact"/>
        <w:rPr>
          <w:rFonts w:ascii="宋体"/>
          <w:sz w:val="24"/>
          <w:szCs w:val="24"/>
        </w:rPr>
      </w:pPr>
      <w:r>
        <w:rPr>
          <w:rFonts w:hint="eastAsia" w:ascii="宋体" w:hAnsi="宋体"/>
          <w:sz w:val="24"/>
          <w:szCs w:val="24"/>
        </w:rPr>
        <w:t xml:space="preserve">投标人应对照第三章资格审查及评标办法中的评审因素，结合自身的实际情况，如实编制，格式自拟。</w:t>
      </w:r>
      <w:r/>
    </w:p>
    <w:p>
      <w:pPr>
        <w:spacing w:line="500" w:lineRule="exact"/>
        <w:rPr>
          <w:rFonts w:asciiTheme="minorEastAsia" w:hAnsiTheme="minorEastAsia" w:eastAsiaTheme="minorEastAsia"/>
          <w:sz w:val="32"/>
          <w:szCs w:val="32"/>
        </w:rPr>
      </w:pPr>
      <w:r/>
      <w:bookmarkStart w:id="286" w:name="_Toc426469934"/>
      <w:r>
        <w:rPr>
          <w:rFonts w:asciiTheme="minorEastAsia" w:hAnsiTheme="minorEastAsia" w:eastAsiaTheme="minorEastAsia"/>
          <w:sz w:val="28"/>
          <w:szCs w:val="28"/>
        </w:rPr>
        <w:br w:type="page" w:clear="all"/>
      </w:r>
      <w:r>
        <w:rPr>
          <w:rFonts w:asciiTheme="minorEastAsia" w:hAnsiTheme="minorEastAsia" w:eastAsiaTheme="minorEastAsia"/>
          <w:sz w:val="32"/>
          <w:szCs w:val="32"/>
        </w:rPr>
        <w:t xml:space="preserve">3. </w:t>
      </w:r>
      <w:r>
        <w:rPr>
          <w:rFonts w:hint="eastAsia" w:cs="宋体" w:asciiTheme="minorEastAsia" w:hAnsiTheme="minorEastAsia" w:eastAsiaTheme="minorEastAsia"/>
          <w:sz w:val="32"/>
          <w:szCs w:val="32"/>
        </w:rPr>
        <w:t xml:space="preserve">投标文件参考格式</w:t>
      </w:r>
      <w:bookmarkEnd w:id="286"/>
      <w:r/>
      <w:bookmarkStart w:id="287" w:name="_Toc426469936"/>
      <w:r/>
      <w:bookmarkStart w:id="288" w:name="_Toc426469937"/>
      <w:r/>
      <w:bookmarkStart w:id="289" w:name="_Toc382812316"/>
      <w:r/>
      <w:bookmarkStart w:id="290" w:name="_Toc382811607"/>
      <w:r/>
      <w:bookmarkStart w:id="291" w:name="_Toc383624021"/>
      <w:r/>
      <w:bookmarkStart w:id="292" w:name="_Toc390099111"/>
      <w:r/>
      <w:bookmarkStart w:id="293" w:name="_Toc390246998"/>
      <w:r/>
      <w:bookmarkStart w:id="294" w:name="_Toc383587529"/>
      <w:r/>
      <w:bookmarkStart w:id="295" w:name="_Toc390098915"/>
      <w:r/>
      <w:bookmarkStart w:id="296" w:name="_Toc383679822"/>
      <w:r/>
      <w:bookmarkStart w:id="297" w:name="_Toc383623749"/>
      <w:r/>
      <w:bookmarkStart w:id="298" w:name="_Toc382812507"/>
      <w:r/>
      <w:bookmarkStart w:id="299" w:name="_Toc383626069"/>
      <w:r/>
      <w:bookmarkStart w:id="300" w:name="_Toc382811202"/>
      <w:r/>
      <w:bookmarkStart w:id="301" w:name="_Toc382813957"/>
      <w:r/>
      <w:bookmarkStart w:id="302" w:name="_Toc382814038"/>
      <w:r/>
      <w:bookmarkStart w:id="303" w:name="_Toc383698722"/>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t xml:space="preserve">3.</w:t>
      </w:r>
      <w:r>
        <w:rPr>
          <w:rFonts w:hint="eastAsia" w:asciiTheme="minorEastAsia" w:hAnsiTheme="minorEastAsia" w:eastAsiaTheme="minorEastAsia"/>
          <w:b/>
          <w:sz w:val="28"/>
          <w:szCs w:val="28"/>
        </w:rPr>
        <w:t xml:space="preserve">1</w:t>
      </w:r>
      <w:r>
        <w:rPr>
          <w:rFonts w:hint="eastAsia" w:cs="宋体" w:asciiTheme="minorEastAsia" w:hAnsiTheme="minorEastAsia" w:eastAsiaTheme="minorEastAsia"/>
          <w:b/>
          <w:sz w:val="28"/>
          <w:szCs w:val="28"/>
        </w:rPr>
        <w:t xml:space="preserve">投标文件封面格式</w:t>
      </w:r>
      <w:bookmarkEnd w:id="287"/>
      <w:r/>
      <w:r/>
    </w:p>
    <w:p>
      <w:pPr>
        <w:ind w:firstLine="420"/>
        <w:jc w:val="center"/>
        <w:spacing w:line="360" w:lineRule="exact"/>
        <w:rPr>
          <w:rFonts w:asciiTheme="minorEastAsia" w:hAnsiTheme="minorEastAsia" w:eastAsiaTheme="minorEastAsia"/>
        </w:rPr>
      </w:pPr>
      <w:r/>
      <w:bookmarkStart w:id="304" w:name="OLE_LINK32"/>
      <w:r/>
      <w:bookmarkStart w:id="305" w:name="OLE_LINK28"/>
      <w:r/>
      <w:r/>
    </w:p>
    <w:p>
      <w:pPr>
        <w:ind w:firstLine="420"/>
        <w:jc w:val="center"/>
        <w:spacing w:line="360" w:lineRule="exact"/>
        <w:rPr>
          <w:rFonts w:asciiTheme="minorEastAsia" w:hAnsiTheme="minorEastAsia" w:eastAsiaTheme="minorEastAsia"/>
        </w:rPr>
      </w:pPr>
      <w:r>
        <w:rPr>
          <w:rFonts w:asciiTheme="minorEastAsia" w:hAnsiTheme="minorEastAsia" w:eastAsiaTheme="minorEastAsia"/>
        </w:rPr>
      </w:r>
      <w:r/>
    </w:p>
    <w:p>
      <w:pPr>
        <w:ind w:firstLine="420"/>
        <w:jc w:val="center"/>
        <w:spacing w:line="360" w:lineRule="exact"/>
        <w:rPr>
          <w:rFonts w:asciiTheme="minorEastAsia" w:hAnsiTheme="minorEastAsia" w:eastAsiaTheme="minorEastAsia"/>
        </w:rPr>
      </w:pPr>
      <w:r>
        <w:rPr>
          <w:rFonts w:asciiTheme="minorEastAsia" w:hAnsiTheme="minorEastAsia" w:eastAsiaTheme="minorEastAsia"/>
        </w:rPr>
      </w:r>
      <w:r/>
    </w:p>
    <w:p>
      <w:pPr>
        <w:ind w:firstLine="420"/>
        <w:jc w:val="center"/>
        <w:spacing w:line="360" w:lineRule="exact"/>
        <w:rPr>
          <w:rFonts w:asciiTheme="minorEastAsia" w:hAnsiTheme="minorEastAsia" w:eastAsiaTheme="minorEastAsia"/>
        </w:rPr>
      </w:pPr>
      <w:r>
        <w:rPr>
          <w:rFonts w:asciiTheme="minorEastAsia" w:hAnsiTheme="minorEastAsia" w:eastAsiaTheme="minorEastAsia"/>
        </w:rPr>
      </w:r>
      <w:r/>
    </w:p>
    <w:p>
      <w:pPr>
        <w:ind w:firstLine="964"/>
        <w:jc w:val="center"/>
        <w:spacing w:line="600" w:lineRule="exact"/>
        <w:rPr>
          <w:rFonts w:asciiTheme="minorEastAsia" w:hAnsiTheme="minorEastAsia" w:eastAsiaTheme="minorEastAsia"/>
          <w:b/>
          <w:sz w:val="48"/>
          <w:szCs w:val="48"/>
        </w:rPr>
      </w:pPr>
      <w:r/>
      <w:bookmarkStart w:id="306" w:name="OLE_LINK144"/>
      <w:r/>
      <w:bookmarkStart w:id="307" w:name="OLE_LINK143"/>
      <w:r>
        <w:rPr>
          <w:rFonts w:hint="eastAsia" w:asciiTheme="minorEastAsia" w:hAnsiTheme="minorEastAsia" w:eastAsiaTheme="minorEastAsia"/>
          <w:b/>
          <w:sz w:val="48"/>
          <w:szCs w:val="48"/>
        </w:rPr>
        <w:t xml:space="preserve">投标文件</w:t>
      </w:r>
      <w:r/>
    </w:p>
    <w:p>
      <w:pPr>
        <w:pStyle w:val="843"/>
        <w:ind w:firstLine="480"/>
        <w:spacing w:after="312" w:line="600" w:lineRule="exact"/>
        <w:rPr>
          <w:rFonts w:asciiTheme="minorEastAsia" w:hAnsiTheme="minorEastAsia" w:eastAsiaTheme="minorEastAsia"/>
        </w:rPr>
      </w:pPr>
      <w:r>
        <w:rPr>
          <w:rFonts w:asciiTheme="minorEastAsia" w:hAnsiTheme="minorEastAsia" w:eastAsiaTheme="minorEastAsia"/>
        </w:rPr>
      </w:r>
      <w:r/>
    </w:p>
    <w:p>
      <w:pPr>
        <w:ind w:firstLine="2520"/>
        <w:spacing w:line="6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项目名称：</w:t>
      </w:r>
      <w:r/>
    </w:p>
    <w:p>
      <w:pPr>
        <w:ind w:firstLine="2520"/>
        <w:spacing w:line="6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2520"/>
        <w:spacing w:line="6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项目编号：</w:t>
      </w:r>
      <w:r/>
    </w:p>
    <w:p>
      <w:pPr>
        <w:ind w:firstLine="2520"/>
        <w:spacing w:line="600" w:lineRule="exact"/>
        <w:rPr>
          <w:rFonts w:cs="宋体" w:asciiTheme="minorEastAsia" w:hAnsiTheme="minorEastAsia" w:eastAsiaTheme="minorEastAsia"/>
          <w:sz w:val="28"/>
          <w:szCs w:val="28"/>
          <w:u w:val="single"/>
        </w:rPr>
      </w:pPr>
      <w:r>
        <w:rPr>
          <w:rFonts w:cs="宋体" w:asciiTheme="minorEastAsia" w:hAnsiTheme="minorEastAsia" w:eastAsiaTheme="minorEastAsia"/>
          <w:sz w:val="28"/>
          <w:szCs w:val="28"/>
          <w:u w:val="single"/>
        </w:rPr>
      </w:r>
      <w:r/>
    </w:p>
    <w:p>
      <w:pPr>
        <w:ind w:firstLine="1260"/>
        <w:spacing w:line="6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6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2520"/>
        <w:spacing w:line="700" w:lineRule="exact"/>
        <w:tabs>
          <w:tab w:val="left" w:pos="2700" w:leader="none"/>
        </w:tabs>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投标人名称：</w:t>
      </w:r>
      <w:r>
        <w:rPr>
          <w:rFonts w:hint="eastAsia" w:asciiTheme="minorEastAsia" w:hAnsiTheme="minorEastAsia" w:eastAsiaTheme="minorEastAsia"/>
          <w:sz w:val="28"/>
          <w:szCs w:val="28"/>
          <w:u w:val="single"/>
        </w:rPr>
        <w:t xml:space="preserve">（盖投标人公章）</w:t>
      </w:r>
      <w:r/>
    </w:p>
    <w:p>
      <w:pPr>
        <w:ind w:firstLine="2520"/>
        <w:spacing w:line="700" w:lineRule="exact"/>
        <w:tabs>
          <w:tab w:val="left" w:pos="2700" w:leader="none"/>
        </w:tabs>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联系人：</w:t>
      </w:r>
      <w:r/>
    </w:p>
    <w:p>
      <w:pPr>
        <w:ind w:firstLine="2520"/>
        <w:spacing w:line="700" w:lineRule="exact"/>
        <w:tabs>
          <w:tab w:val="left" w:pos="2700" w:leader="none"/>
        </w:tabs>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联系电话：</w:t>
      </w:r>
      <w:r/>
    </w:p>
    <w:p>
      <w:pPr>
        <w:ind w:firstLine="2520"/>
        <w:spacing w:line="7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w:t>
      </w:r>
      <w:r>
        <w:rPr>
          <w:rFonts w:asciiTheme="minorEastAsia" w:hAnsiTheme="minorEastAsia" w:eastAsiaTheme="minorEastAsia"/>
          <w:sz w:val="28"/>
          <w:szCs w:val="28"/>
        </w:rPr>
        <w:t xml:space="preserve">______</w:t>
      </w:r>
      <w:r>
        <w:rPr>
          <w:rFonts w:hint="eastAsia" w:asciiTheme="minorEastAsia" w:hAnsiTheme="minorEastAsia" w:eastAsiaTheme="minorEastAsia"/>
          <w:sz w:val="28"/>
          <w:szCs w:val="28"/>
        </w:rPr>
        <w:t xml:space="preserve">年</w:t>
      </w:r>
      <w:r>
        <w:rPr>
          <w:rFonts w:asciiTheme="minorEastAsia" w:hAnsiTheme="minorEastAsia" w:eastAsiaTheme="minorEastAsia"/>
          <w:sz w:val="28"/>
          <w:szCs w:val="28"/>
        </w:rPr>
        <w:t xml:space="preserve">____</w:t>
      </w:r>
      <w:r>
        <w:rPr>
          <w:rFonts w:hint="eastAsia" w:asciiTheme="minorEastAsia" w:hAnsiTheme="minorEastAsia" w:eastAsiaTheme="minorEastAsia"/>
          <w:sz w:val="28"/>
          <w:szCs w:val="28"/>
        </w:rPr>
        <w:t xml:space="preserve">月</w:t>
      </w:r>
      <w:r>
        <w:rPr>
          <w:rFonts w:asciiTheme="minorEastAsia" w:hAnsiTheme="minorEastAsia" w:eastAsiaTheme="minorEastAsia"/>
          <w:sz w:val="28"/>
          <w:szCs w:val="28"/>
        </w:rPr>
        <w:t xml:space="preserve">____</w:t>
      </w:r>
      <w:r>
        <w:rPr>
          <w:rFonts w:hint="eastAsia" w:asciiTheme="minorEastAsia" w:hAnsiTheme="minorEastAsia" w:eastAsiaTheme="minorEastAsia"/>
          <w:sz w:val="28"/>
          <w:szCs w:val="28"/>
        </w:rPr>
        <w:t xml:space="preserve">日</w:t>
      </w:r>
      <w:bookmarkEnd w:id="304"/>
      <w:r/>
      <w:bookmarkEnd w:id="306"/>
      <w:r/>
      <w:bookmarkEnd w:id="307"/>
      <w:r/>
      <w:r/>
    </w:p>
    <w:p>
      <w:pPr>
        <w:ind w:firstLine="252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2"/>
        <w:jc w:val="left"/>
        <w:widowControl/>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bookmarkEnd w:id="305"/>
      <w:r/>
      <w:r/>
    </w:p>
    <w:p>
      <w:pPr>
        <w:ind w:firstLine="562"/>
        <w:spacing w:line="400" w:lineRule="exact"/>
        <w:rPr>
          <w:rFonts w:asciiTheme="minorEastAsia" w:hAnsiTheme="minorEastAsia" w:eastAsiaTheme="minorEastAsia"/>
          <w:b/>
          <w:sz w:val="28"/>
          <w:szCs w:val="28"/>
        </w:rPr>
      </w:pPr>
      <w:r>
        <w:rPr>
          <w:rFonts w:asciiTheme="minorEastAsia" w:hAnsiTheme="minorEastAsia" w:eastAsiaTheme="minorEastAsia"/>
          <w:b/>
          <w:sz w:val="28"/>
          <w:szCs w:val="28"/>
        </w:rPr>
        <w:t xml:space="preserve">3.</w:t>
      </w: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开标一览表</w:t>
      </w:r>
      <w:bookmarkEnd w:id="288"/>
      <w:r/>
      <w:r/>
    </w:p>
    <w:p>
      <w:pPr>
        <w:ind w:firstLine="643"/>
        <w:rPr>
          <w:rFonts w:asciiTheme="minorEastAsia" w:hAnsiTheme="minorEastAsia" w:eastAsiaTheme="minorEastAsia"/>
          <w:b/>
          <w:sz w:val="32"/>
          <w:szCs w:val="32"/>
        </w:rPr>
      </w:pPr>
      <w:r/>
      <w:bookmarkStart w:id="308" w:name="_Toc426469938"/>
      <w:r/>
      <w:r/>
    </w:p>
    <w:p>
      <w:pPr>
        <w:ind w:firstLine="643"/>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开标一览表</w:t>
      </w:r>
      <w:r/>
    </w:p>
    <w:p>
      <w:pPr>
        <w:pStyle w:val="843"/>
        <w:ind w:firstLine="480"/>
        <w:spacing w:after="312"/>
        <w:rPr>
          <w:rFonts w:asciiTheme="minorEastAsia" w:hAnsiTheme="minorEastAsia" w:eastAsiaTheme="minorEastAsia"/>
        </w:rPr>
      </w:pPr>
      <w:r>
        <w:rPr>
          <w:rFonts w:asciiTheme="minorEastAsia" w:hAnsiTheme="minorEastAsia" w:eastAsiaTheme="minorEastAsia"/>
        </w:rPr>
      </w:r>
      <w:r/>
    </w:p>
    <w:p>
      <w:pPr>
        <w:pStyle w:val="843"/>
        <w:ind w:firstLine="480"/>
        <w:spacing w:after="31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项目编号：项目编号</w:t>
      </w:r>
      <w:r/>
    </w:p>
    <w:p>
      <w:pPr>
        <w:pStyle w:val="843"/>
        <w:ind w:firstLine="480"/>
        <w:spacing w:after="31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货币单位：人民币元</w:t>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2235"/>
        <w:gridCol w:w="2554"/>
      </w:tblGrid>
      <w:tr>
        <w:trPr>
          <w:jc w:val="center"/>
        </w:trPr>
        <w:tc>
          <w:tcPr>
            <w:tcW w:w="3299" w:type="dxa"/>
            <w:vAlign w:val="center"/>
            <w:textDirection w:val="lrTb"/>
            <w:noWrap w:val="false"/>
          </w:tcPr>
          <w:p>
            <w:pPr>
              <w:pStyle w:val="843"/>
              <w:jc w:val="left"/>
              <w:spacing w:after="31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W w:w="2235" w:type="dxa"/>
            <w:vAlign w:val="center"/>
            <w:textDirection w:val="lrTb"/>
            <w:noWrap w:val="false"/>
          </w:tcPr>
          <w:p>
            <w:pPr>
              <w:pStyle w:val="843"/>
              <w:spacing w:after="31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项目内容</w:t>
            </w:r>
            <w:r/>
          </w:p>
        </w:tc>
        <w:tc>
          <w:tcPr>
            <w:tcW w:w="2554" w:type="dxa"/>
            <w:vAlign w:val="center"/>
            <w:textDirection w:val="lrTb"/>
            <w:noWrap w:val="false"/>
          </w:tcPr>
          <w:p>
            <w:pPr>
              <w:pStyle w:val="843"/>
              <w:ind w:firstLine="480"/>
              <w:spacing w:after="31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总价（小写）</w:t>
            </w:r>
            <w:r/>
          </w:p>
        </w:tc>
      </w:tr>
      <w:tr>
        <w:trPr>
          <w:jc w:val="center"/>
        </w:trPr>
        <w:tc>
          <w:tcPr>
            <w:tcW w:w="3299" w:type="dxa"/>
            <w:vAlign w:val="center"/>
            <w:textDirection w:val="lrTb"/>
            <w:noWrap w:val="false"/>
          </w:tcPr>
          <w:p>
            <w:pPr>
              <w:pStyle w:val="843"/>
              <w:jc w:val="left"/>
              <w:spacing w:after="312"/>
              <w:rPr>
                <w:rFonts w:asciiTheme="minorEastAsia" w:hAnsiTheme="minorEastAsia" w:eastAsiaTheme="minorEastAsia"/>
                <w:sz w:val="24"/>
                <w:szCs w:val="24"/>
              </w:rPr>
            </w:pPr>
            <w:r>
              <w:rPr>
                <w:rStyle w:val="1090"/>
                <w:sz w:val="24"/>
                <w:szCs w:val="24"/>
                <w:shd w:val="clear" w:color="auto" w:fill="ffffff"/>
              </w:rPr>
              <w:t xml:space="preserve">项目名称</w:t>
            </w:r>
            <w:r/>
          </w:p>
        </w:tc>
        <w:tc>
          <w:tcPr>
            <w:tcW w:w="2235" w:type="dxa"/>
            <w:vAlign w:val="center"/>
            <w:textDirection w:val="lrTb"/>
            <w:noWrap w:val="false"/>
          </w:tcPr>
          <w:p>
            <w:pPr>
              <w:pStyle w:val="843"/>
              <w:spacing w:after="312"/>
              <w:rPr>
                <w:rFonts w:asciiTheme="minorEastAsia" w:hAnsiTheme="minorEastAsia" w:eastAsiaTheme="minorEastAsia"/>
                <w:sz w:val="24"/>
                <w:szCs w:val="24"/>
              </w:rPr>
            </w:pPr>
            <w:r>
              <w:rPr>
                <w:sz w:val="24"/>
                <w:szCs w:val="24"/>
              </w:rPr>
              <w:t xml:space="preserve">详见投标文件</w:t>
            </w:r>
            <w:r/>
          </w:p>
        </w:tc>
        <w:tc>
          <w:tcPr>
            <w:tcW w:w="2554" w:type="dxa"/>
            <w:vAlign w:val="center"/>
            <w:textDirection w:val="lrTb"/>
            <w:noWrap w:val="false"/>
          </w:tcPr>
          <w:p>
            <w:pPr>
              <w:pStyle w:val="843"/>
              <w:ind w:firstLine="480"/>
              <w:spacing w:after="312"/>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1176"/>
        </w:trPr>
        <w:tc>
          <w:tcPr>
            <w:tcW w:w="3299" w:type="dxa"/>
            <w:vAlign w:val="center"/>
            <w:textDirection w:val="lrTb"/>
            <w:noWrap w:val="false"/>
          </w:tcPr>
          <w:p>
            <w:pPr>
              <w:pStyle w:val="843"/>
              <w:jc w:val="left"/>
              <w:spacing w:after="312"/>
              <w:rPr>
                <w:rFonts w:asciiTheme="minorEastAsia" w:hAnsiTheme="minorEastAsia" w:eastAsiaTheme="minorEastAsia"/>
                <w:sz w:val="24"/>
                <w:szCs w:val="24"/>
              </w:rPr>
            </w:pPr>
            <w:r>
              <w:rPr>
                <w:sz w:val="24"/>
                <w:szCs w:val="24"/>
              </w:rPr>
              <w:t xml:space="preserve">总价（大写）：</w:t>
            </w:r>
            <w:r/>
          </w:p>
        </w:tc>
        <w:tc>
          <w:tcPr>
            <w:tcW w:w="2235" w:type="dxa"/>
            <w:vAlign w:val="center"/>
            <w:textDirection w:val="lrTb"/>
            <w:noWrap w:val="false"/>
          </w:tcPr>
          <w:p>
            <w:pPr>
              <w:pStyle w:val="843"/>
              <w:spacing w:after="312"/>
              <w:rPr>
                <w:rFonts w:asciiTheme="minorEastAsia" w:hAnsiTheme="minorEastAsia" w:eastAsiaTheme="minorEastAsia"/>
                <w:sz w:val="24"/>
                <w:szCs w:val="24"/>
              </w:rPr>
            </w:pPr>
            <w:r>
              <w:rPr>
                <w:rStyle w:val="1090"/>
                <w:sz w:val="24"/>
                <w:szCs w:val="24"/>
              </w:rPr>
              <w:t xml:space="preserve">金额大写</w:t>
            </w:r>
            <w:r/>
          </w:p>
        </w:tc>
        <w:tc>
          <w:tcPr>
            <w:tcW w:w="2554" w:type="dxa"/>
            <w:vAlign w:val="center"/>
            <w:textDirection w:val="lrTb"/>
            <w:noWrap w:val="false"/>
          </w:tcPr>
          <w:p>
            <w:pPr>
              <w:pStyle w:val="843"/>
              <w:ind w:firstLine="480"/>
              <w:spacing w:after="312"/>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560"/>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投标人公章：             </w:t>
      </w:r>
      <w:r>
        <w:rPr>
          <w:sz w:val="24"/>
          <w:szCs w:val="24"/>
        </w:rPr>
        <w:t xml:space="preserve">（电子签章）</w:t>
      </w:r>
      <w:r/>
    </w:p>
    <w:p>
      <w:pPr>
        <w:ind w:firstLine="480"/>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sz w:val="28"/>
          <w:szCs w:val="28"/>
        </w:rPr>
      </w:pPr>
      <w:r>
        <w:rPr>
          <w:rFonts w:asciiTheme="minorEastAsia" w:hAnsiTheme="minorEastAsia" w:eastAsiaTheme="minorEastAsia"/>
        </w:rPr>
        <w:br w:type="page" w:clear="all"/>
      </w:r>
      <w:r>
        <w:rPr>
          <w:rFonts w:cs="宋体" w:asciiTheme="minorEastAsia" w:hAnsiTheme="minorEastAsia" w:eastAsiaTheme="minorEastAsia"/>
          <w:b/>
          <w:sz w:val="28"/>
          <w:szCs w:val="28"/>
        </w:rPr>
        <w:t xml:space="preserve">3.</w:t>
      </w:r>
      <w:r>
        <w:rPr>
          <w:rFonts w:hint="eastAsia" w:cs="宋体" w:asciiTheme="minorEastAsia" w:hAnsiTheme="minorEastAsia" w:eastAsiaTheme="minorEastAsia"/>
          <w:b/>
          <w:sz w:val="28"/>
          <w:szCs w:val="28"/>
        </w:rPr>
        <w:t xml:space="preserve">3投标函</w:t>
      </w:r>
      <w:bookmarkEnd w:id="30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ind w:firstLine="880"/>
        <w:jc w:val="center"/>
        <w:rPr>
          <w:sz w:val="44"/>
          <w:szCs w:val="44"/>
        </w:rPr>
      </w:pPr>
      <w:r/>
      <w:bookmarkStart w:id="309" w:name="_Toc367785041"/>
      <w:r/>
      <w:bookmarkStart w:id="310" w:name="OLE_LINK19"/>
      <w:r>
        <w:rPr>
          <w:rFonts w:hint="eastAsia"/>
          <w:sz w:val="44"/>
          <w:szCs w:val="44"/>
        </w:rPr>
        <w:t xml:space="preserve">投</w:t>
      </w:r>
      <w:r>
        <w:rPr>
          <w:rFonts w:hint="eastAsia" w:ascii="宋体" w:hAnsi="宋体" w:cs="宋体"/>
          <w:sz w:val="44"/>
          <w:szCs w:val="44"/>
        </w:rPr>
        <w:t xml:space="preserve">标函</w:t>
      </w:r>
      <w:bookmarkEnd w:id="309"/>
      <w:r/>
      <w:r/>
    </w:p>
    <w:p>
      <w:pPr>
        <w:ind w:firstLine="56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致：</w:t>
      </w:r>
      <w:r>
        <w:rPr>
          <w:rFonts w:asciiTheme="minorEastAsia" w:hAnsiTheme="minorEastAsia"/>
          <w:sz w:val="24"/>
          <w:szCs w:val="24"/>
          <w:u w:val="single"/>
        </w:rPr>
        <w:t xml:space="preserve">(</w:t>
      </w:r>
      <w:r>
        <w:rPr>
          <w:rFonts w:hint="eastAsia" w:asciiTheme="minorEastAsia" w:hAnsiTheme="minorEastAsia"/>
          <w:sz w:val="24"/>
          <w:szCs w:val="24"/>
          <w:u w:val="single"/>
        </w:rPr>
        <w:t xml:space="preserve">采购人名称</w:t>
      </w:r>
      <w:r>
        <w:rPr>
          <w:rFonts w:asciiTheme="minorEastAsia" w:hAnsiTheme="minorEastAsia"/>
          <w:sz w:val="24"/>
          <w:szCs w:val="24"/>
          <w:u w:val="single"/>
        </w:rPr>
        <w:t xml:space="preserve">)</w:t>
      </w:r>
      <w:r>
        <w:rPr>
          <w:rFonts w:hint="eastAsia" w:asciiTheme="minorEastAsia" w:hAnsiTheme="minorEastAsia"/>
          <w:sz w:val="24"/>
          <w:szCs w:val="24"/>
        </w:rPr>
        <w:t xml:space="preserve">：</w:t>
      </w:r>
      <w:r/>
    </w:p>
    <w:p>
      <w:pPr>
        <w:ind w:firstLine="48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根据</w:t>
      </w:r>
      <w:r>
        <w:rPr>
          <w:rFonts w:hint="eastAsia" w:asciiTheme="minorEastAsia" w:hAnsiTheme="minorEastAsia"/>
          <w:sz w:val="24"/>
          <w:szCs w:val="24"/>
          <w:u w:val="single"/>
        </w:rPr>
        <w:t xml:space="preserve">（项目名称）</w:t>
      </w:r>
      <w:r>
        <w:rPr>
          <w:rFonts w:hint="eastAsia" w:asciiTheme="minorEastAsia" w:hAnsiTheme="minorEastAsia"/>
          <w:sz w:val="24"/>
          <w:szCs w:val="24"/>
        </w:rPr>
        <w:t xml:space="preserve">招标文件的所有条款要求，遵照《中华人民共和国政府采购法》、《中华人民共和国政府采购法实施条例》等有关规定，我方承诺如下：</w:t>
      </w:r>
      <w:r/>
    </w:p>
    <w:p>
      <w:pPr>
        <w:ind w:firstLine="480"/>
        <w:keepLines w:val="0"/>
        <w:keepNext w:val="0"/>
        <w:pageBreakBefore w:val="0"/>
        <w:spacing w:line="500" w:lineRule="exact"/>
        <w:widowControl w:val="off"/>
        <w:rPr>
          <w:rFonts w:hint="eastAsia" w:asciiTheme="minorEastAsia" w:hAnsiTheme="minorEastAsia"/>
          <w:sz w:val="24"/>
          <w:szCs w:val="24"/>
        </w:rPr>
      </w:pPr>
      <w:r>
        <w:rPr>
          <w:rFonts w:asciiTheme="minorEastAsia" w:hAnsiTheme="minorEastAsia"/>
          <w:sz w:val="24"/>
          <w:szCs w:val="24"/>
        </w:rPr>
        <w:t xml:space="preserve">1</w:t>
      </w:r>
      <w:r>
        <w:rPr>
          <w:rFonts w:hint="eastAsia" w:asciiTheme="minorEastAsia" w:hAnsiTheme="minorEastAsia"/>
          <w:sz w:val="24"/>
          <w:szCs w:val="24"/>
        </w:rPr>
        <w:t xml:space="preserve">.投标总价为（大写）：</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 。</w:t>
      </w:r>
      <w:r/>
    </w:p>
    <w:p>
      <w:pPr>
        <w:ind w:firstLine="48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如我方中标，投标总价即为合同价，在履行合同约定的责任和义务的过程中不再要求调增。</w:t>
      </w:r>
      <w:r/>
    </w:p>
    <w:p>
      <w:pPr>
        <w:ind w:firstLine="480"/>
        <w:keepLines w:val="0"/>
        <w:keepNext w:val="0"/>
        <w:pageBreakBefore w:val="0"/>
        <w:spacing w:line="500" w:lineRule="exact"/>
        <w:widowControl w:val="off"/>
        <w:rPr>
          <w:rFonts w:hint="default" w:asciiTheme="minorEastAsia" w:hAnsiTheme="minorEastAsia" w:eastAsiaTheme="minorEastAsia"/>
          <w:sz w:val="24"/>
          <w:szCs w:val="24"/>
          <w:u w:val="single"/>
          <w:lang w:val="en-US" w:eastAsia="zh-CN"/>
        </w:rPr>
      </w:pPr>
      <w:r>
        <w:rPr>
          <w:rFonts w:hint="eastAsia" w:asciiTheme="minorEastAsia" w:hAnsiTheme="minorEastAsia"/>
          <w:sz w:val="24"/>
          <w:szCs w:val="24"/>
        </w:rPr>
        <w:t xml:space="preserve">2.合同履行期限：</w:t>
      </w:r>
      <w:bookmarkStart w:id="311" w:name="OLE_LINK30"/>
      <w:r/>
      <w:bookmarkStart w:id="312" w:name="OLE_LINK31"/>
      <w:r>
        <w:rPr>
          <w:rFonts w:hint="eastAsia" w:asciiTheme="minorEastAsia" w:hAnsiTheme="minorEastAsia" w:eastAsiaTheme="minorEastAsia"/>
          <w:sz w:val="24"/>
          <w:szCs w:val="24"/>
          <w:u w:val="single"/>
          <w:lang w:val="en-US" w:eastAsia="zh-CN"/>
        </w:rPr>
        <w:t xml:space="preserve">               </w:t>
      </w:r>
      <w:r/>
    </w:p>
    <w:p>
      <w:pPr>
        <w:ind w:firstLine="48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项目负责人</w:t>
      </w:r>
      <w:bookmarkEnd w:id="311"/>
      <w:r/>
      <w:bookmarkEnd w:id="312"/>
      <w:r>
        <w:rPr>
          <w:rFonts w:hint="eastAsia" w:asciiTheme="minorEastAsia" w:hAnsiTheme="minorEastAsia"/>
          <w:sz w:val="24"/>
          <w:szCs w:val="24"/>
        </w:rPr>
        <w:t xml:space="preserve">：</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w:t>
      </w:r>
      <w:r/>
    </w:p>
    <w:p>
      <w:pPr>
        <w:ind w:firstLine="48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3.投标有效期：</w:t>
      </w:r>
      <w:r>
        <w:rPr>
          <w:rFonts w:hint="eastAsia" w:asciiTheme="minorEastAsia" w:hAnsiTheme="minorEastAsia"/>
          <w:sz w:val="24"/>
          <w:szCs w:val="24"/>
          <w:u w:val="single"/>
        </w:rPr>
        <w:t xml:space="preserve"> 60日历天</w:t>
      </w:r>
      <w:r>
        <w:rPr>
          <w:rFonts w:hint="eastAsia" w:asciiTheme="minorEastAsia" w:hAnsiTheme="minorEastAsia"/>
          <w:sz w:val="24"/>
          <w:szCs w:val="24"/>
        </w:rPr>
        <w:t xml:space="preserve">。在投标有效期内我方同意遵守本投标文件中的承诺且在此期限期满之前投标文件对我方具有法律约束力。</w:t>
      </w:r>
      <w:r/>
    </w:p>
    <w:p>
      <w:pPr>
        <w:ind w:firstLine="48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4.我方已详细审查全部招标文件。我们完全理解并同意放弃对这方面有不明及误解的权力。</w:t>
      </w:r>
      <w:r/>
    </w:p>
    <w:p>
      <w:pPr>
        <w:ind w:firstLine="48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我方投标文件中做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843"/>
        <w:keepLines w:val="0"/>
        <w:keepNext w:val="0"/>
        <w:pageBreakBefore w:val="0"/>
        <w:spacing w:after="312" w:line="500" w:lineRule="exact"/>
        <w:widowControl w:val="off"/>
        <w:rPr>
          <w:sz w:val="20"/>
          <w:szCs w:val="22"/>
        </w:rPr>
      </w:pPr>
      <w:r>
        <w:rPr>
          <w:sz w:val="20"/>
          <w:szCs w:val="22"/>
        </w:rPr>
      </w:r>
      <w:r/>
    </w:p>
    <w:p>
      <w:pPr>
        <w:ind w:right="560" w:firstLine="264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投标人名称(盖投标人公章)：</w:t>
      </w:r>
      <w:r/>
    </w:p>
    <w:p>
      <w:pPr>
        <w:ind w:firstLine="264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法定代表人 (签字或签章)：</w:t>
      </w:r>
      <w:r/>
    </w:p>
    <w:p>
      <w:pPr>
        <w:ind w:firstLine="264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日期：  年  月  日</w:t>
      </w:r>
      <w:bookmarkEnd w:id="310"/>
      <w:r/>
      <w:r/>
    </w:p>
    <w:p>
      <w:pPr>
        <w:jc w:val="left"/>
        <w:widowControl/>
        <w:rPr>
          <w:rFonts w:cs="宋体" w:asciiTheme="minorEastAsia" w:hAnsiTheme="minorEastAsia" w:eastAsiaTheme="minorEastAsia"/>
          <w:b/>
          <w:sz w:val="28"/>
          <w:szCs w:val="28"/>
        </w:rPr>
      </w:pPr>
      <w:r/>
      <w:bookmarkStart w:id="313" w:name="OLE_LINK34"/>
      <w:r/>
      <w:bookmarkStart w:id="314" w:name="OLE_LINK33"/>
      <w:r/>
      <w:bookmarkStart w:id="315" w:name="OLE_LINK21"/>
      <w:r/>
      <w:bookmarkStart w:id="316" w:name="OLE_LINK20"/>
      <w:r/>
      <w:r/>
    </w:p>
    <w:p>
      <w:pPr>
        <w:jc w:val="left"/>
        <w:widowControl/>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jc w:val="left"/>
        <w:widowControl/>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jc w:val="left"/>
        <w:widowControl/>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jc w:val="left"/>
        <w:widowControl/>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投标报价明细表及分析说明</w:t>
      </w:r>
      <w:r/>
    </w:p>
    <w:p>
      <w:pPr>
        <w:ind w:firstLine="420"/>
        <w:spacing w:line="360" w:lineRule="exact"/>
        <w:rPr>
          <w:rFonts w:asciiTheme="minorEastAsia" w:hAnsiTheme="minorEastAsia" w:eastAsiaTheme="minorEastAsia"/>
        </w:rPr>
      </w:pPr>
      <w:r>
        <w:rPr>
          <w:rFonts w:asciiTheme="minorEastAsia" w:hAnsiTheme="minorEastAsia" w:eastAsiaTheme="minorEastAsia"/>
        </w:rPr>
      </w:r>
      <w:r/>
    </w:p>
    <w:p>
      <w:pPr>
        <w:ind w:firstLine="420"/>
        <w:spacing w:line="360" w:lineRule="exact"/>
        <w:rPr>
          <w:rFonts w:asciiTheme="minorEastAsia" w:hAnsiTheme="minorEastAsia" w:eastAsiaTheme="minorEastAsia"/>
        </w:rPr>
      </w:pPr>
      <w:r>
        <w:rPr>
          <w:rFonts w:asciiTheme="minorEastAsia" w:hAnsiTheme="minorEastAsia" w:eastAsiaTheme="minorEastAsia"/>
        </w:rPr>
      </w:r>
      <w:r/>
    </w:p>
    <w:p>
      <w:pPr>
        <w:ind w:firstLine="3080"/>
        <w:spacing w:line="520" w:lineRule="exact"/>
        <w:rPr>
          <w:rFonts w:asciiTheme="minorEastAsia" w:hAnsiTheme="minorEastAsia"/>
          <w:sz w:val="28"/>
          <w:szCs w:val="28"/>
        </w:rPr>
      </w:pPr>
      <w:r>
        <w:rPr>
          <w:rFonts w:asciiTheme="minorEastAsia" w:hAnsiTheme="minorEastAsia"/>
          <w:sz w:val="28"/>
          <w:szCs w:val="28"/>
        </w:rPr>
        <w:t xml:space="preserve">格式自拟</w:t>
      </w:r>
      <w:r/>
    </w:p>
    <w:p>
      <w:pPr>
        <w:ind w:firstLine="3080"/>
        <w:spacing w:line="520" w:lineRule="exact"/>
        <w:rPr>
          <w:rFonts w:asciiTheme="minorEastAsia" w:hAnsiTheme="minorEastAsia"/>
          <w:sz w:val="28"/>
          <w:szCs w:val="28"/>
        </w:rPr>
      </w:pPr>
      <w:r>
        <w:rPr>
          <w:rFonts w:asciiTheme="minorEastAsia" w:hAnsiTheme="minorEastAsia"/>
          <w:sz w:val="28"/>
          <w:szCs w:val="28"/>
        </w:rPr>
      </w:r>
      <w:r/>
    </w:p>
    <w:p>
      <w:pPr>
        <w:ind w:firstLine="3080"/>
        <w:spacing w:line="520" w:lineRule="exact"/>
        <w:rPr>
          <w:rFonts w:asciiTheme="minorEastAsia" w:hAnsiTheme="minorEastAsia"/>
          <w:sz w:val="28"/>
          <w:szCs w:val="28"/>
        </w:rPr>
      </w:pPr>
      <w:r>
        <w:rPr>
          <w:rFonts w:asciiTheme="minorEastAsia" w:hAnsiTheme="minorEastAsia"/>
          <w:sz w:val="28"/>
          <w:szCs w:val="28"/>
        </w:rPr>
      </w:r>
      <w:r/>
    </w:p>
    <w:p>
      <w:pPr>
        <w:ind w:firstLine="3080"/>
        <w:spacing w:line="520" w:lineRule="exact"/>
        <w:rPr>
          <w:rFonts w:asciiTheme="minorEastAsia" w:hAnsiTheme="minorEastAsia"/>
          <w:sz w:val="28"/>
          <w:szCs w:val="28"/>
        </w:rPr>
      </w:pPr>
      <w:r>
        <w:rPr>
          <w:rFonts w:asciiTheme="minorEastAsia" w:hAnsiTheme="minorEastAsia"/>
          <w:sz w:val="28"/>
          <w:szCs w:val="28"/>
        </w:rPr>
      </w:r>
      <w:r/>
    </w:p>
    <w:p>
      <w:pPr>
        <w:ind w:firstLine="3080"/>
        <w:spacing w:line="520" w:lineRule="exact"/>
        <w:rPr>
          <w:rFonts w:asciiTheme="minorEastAsia" w:hAnsiTheme="minorEastAsia"/>
          <w:sz w:val="28"/>
          <w:szCs w:val="28"/>
        </w:rPr>
      </w:pPr>
      <w:r>
        <w:rPr>
          <w:rFonts w:asciiTheme="minorEastAsia" w:hAnsiTheme="minorEastAsia"/>
          <w:sz w:val="28"/>
          <w:szCs w:val="28"/>
        </w:r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投标人名称(盖投标人公章)：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ind w:firstLine="3080"/>
        <w:spacing w:line="520" w:lineRule="exact"/>
        <w:rPr>
          <w:rFonts w:asciiTheme="minorEastAsia" w:hAnsiTheme="minorEastAsia"/>
          <w:sz w:val="28"/>
          <w:szCs w:val="28"/>
        </w:rPr>
      </w:pPr>
      <w:r>
        <w:rPr>
          <w:rFonts w:asciiTheme="minorEastAsia" w:hAnsiTheme="minorEastAsia"/>
          <w:sz w:val="28"/>
          <w:szCs w:val="28"/>
        </w:rPr>
      </w:r>
      <w:bookmarkEnd w:id="313"/>
      <w:r/>
      <w:bookmarkEnd w:id="314"/>
      <w:r/>
      <w:r/>
    </w:p>
    <w:p>
      <w:pPr>
        <w:ind w:firstLine="560"/>
        <w:jc w:val="left"/>
        <w:spacing w:line="500" w:lineRule="exact"/>
        <w:widowControl/>
        <w:rPr>
          <w:rFonts w:cs="宋体" w:asciiTheme="minorEastAsia" w:hAnsiTheme="minorEastAsia" w:eastAsiaTheme="minorEastAsia"/>
          <w:b/>
          <w:sz w:val="28"/>
          <w:szCs w:val="28"/>
        </w:rPr>
      </w:pPr>
      <w:r>
        <w:rPr>
          <w:rFonts w:asciiTheme="minorEastAsia" w:hAnsiTheme="minorEastAsia" w:eastAsiaTheme="minorEastAsia"/>
          <w:sz w:val="28"/>
          <w:szCs w:val="28"/>
        </w:rPr>
        <w:br w:type="page" w:clear="all"/>
      </w:r>
      <w:bookmarkEnd w:id="315"/>
      <w:r/>
      <w:bookmarkEnd w:id="316"/>
      <w:r>
        <w:rPr>
          <w:rFonts w:hint="eastAsia" w:cs="宋体" w:asciiTheme="minorEastAsia" w:hAnsiTheme="minorEastAsia" w:eastAsiaTheme="minorEastAsia"/>
          <w:b/>
          <w:sz w:val="28"/>
          <w:szCs w:val="28"/>
        </w:rPr>
        <w:t xml:space="preserve">3.4投标人资格条件证明文件</w:t>
      </w:r>
      <w:r/>
    </w:p>
    <w:p>
      <w:pPr>
        <w:ind w:firstLine="560"/>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（1）投标人基本资格条件承诺函</w:t>
      </w:r>
      <w:r/>
    </w:p>
    <w:p>
      <w:pPr>
        <w:ind w:firstLine="560"/>
        <w:jc w:val="center"/>
        <w:spacing w:line="500" w:lineRule="exact"/>
        <w:rPr>
          <w:rFonts w:cs="宋体" w:asciiTheme="minorEastAsia" w:hAnsiTheme="minorEastAsia" w:eastAsiaTheme="minorEastAsia"/>
          <w:b/>
          <w:sz w:val="24"/>
          <w:szCs w:val="24"/>
        </w:rPr>
      </w:pPr>
      <w:r/>
      <w:bookmarkStart w:id="317" w:name="OLE_LINK36"/>
      <w:r/>
      <w:bookmarkStart w:id="318" w:name="OLE_LINK35"/>
      <w:r>
        <w:rPr>
          <w:rFonts w:hint="eastAsia" w:cs="宋体" w:asciiTheme="minorEastAsia" w:hAnsiTheme="minorEastAsia" w:eastAsiaTheme="minorEastAsia"/>
          <w:b/>
          <w:sz w:val="24"/>
          <w:szCs w:val="24"/>
        </w:rPr>
        <w:t xml:space="preserve">投标人基本资格条件承诺函</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一、按照《政府采购法》第二十二条规定的投标人基本资格条件，我公司郑重承诺如下：</w:t>
      </w:r>
      <w:r/>
    </w:p>
    <w:p>
      <w:pPr>
        <w:ind w:firstLine="480"/>
        <w:spacing w:line="500" w:lineRule="exact"/>
        <w:rPr>
          <w:rFonts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rPr>
        <w:t xml:space="preserve">1.我公司具有</w:t>
      </w:r>
      <w:r>
        <w:rPr>
          <w:rFonts w:hint="eastAsia" w:asciiTheme="minorEastAsia" w:hAnsiTheme="minorEastAsia" w:eastAsiaTheme="minorEastAsia"/>
          <w:sz w:val="24"/>
          <w:szCs w:val="24"/>
          <w:shd w:val="clear" w:color="auto" w:fill="ffffff"/>
        </w:rPr>
        <w:t xml:space="preserve">良好的商业信誉和健全的财务制度；</w:t>
      </w:r>
      <w:r/>
    </w:p>
    <w:p>
      <w:pPr>
        <w:ind w:firstLine="480"/>
        <w:spacing w:line="500" w:lineRule="exact"/>
        <w:rPr>
          <w:rFonts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shd w:val="clear" w:color="auto" w:fill="ffffff"/>
        </w:rPr>
        <w:t xml:space="preserve">2.我公司具有履行合同所必须的设备和专业技术能力；</w:t>
      </w:r>
      <w:r/>
    </w:p>
    <w:p>
      <w:pPr>
        <w:ind w:firstLine="480"/>
        <w:spacing w:line="500" w:lineRule="exact"/>
        <w:rPr>
          <w:rFonts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shd w:val="clear" w:color="auto" w:fill="ffffff"/>
        </w:rPr>
        <w:t xml:space="preserve">3.我公司具有依法缴纳税收和社会保障资金的良好记录；</w:t>
      </w:r>
      <w:r/>
    </w:p>
    <w:p>
      <w:pPr>
        <w:ind w:firstLine="480"/>
        <w:spacing w:line="500" w:lineRule="exact"/>
        <w:rPr>
          <w:rFonts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shd w:val="clear" w:color="auto" w:fill="ffffff"/>
        </w:rPr>
        <w:t xml:space="preserve">4.我公司参加政府采购活动前三年内，在经营活动中没有重大违法记录；</w:t>
      </w:r>
      <w:r/>
    </w:p>
    <w:p>
      <w:pPr>
        <w:ind w:firstLine="480"/>
        <w:spacing w:line="500" w:lineRule="exact"/>
        <w:rPr>
          <w:rFonts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4"/>
          <w:szCs w:val="24"/>
        </w:rPr>
        <w:t xml:space="preserve">。</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shd w:val="clear" w:color="auto" w:fill="ffffff"/>
        </w:rPr>
        <w:t xml:space="preserve">二、</w:t>
      </w:r>
      <w:r>
        <w:rPr>
          <w:rFonts w:hint="eastAsia" w:asciiTheme="minorEastAsia" w:hAnsiTheme="minorEastAsia" w:eastAsiaTheme="minorEastAsia"/>
          <w:sz w:val="24"/>
          <w:szCs w:val="24"/>
        </w:rPr>
        <w:t xml:space="preserve">我公司承诺：在本次投标过程中，我公司不存在本项目招标文件第二章第1.4.3条所列情形之一。</w:t>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360"/>
        <w:spacing w:before="156"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投标人名称(盖投标人公章)：</w:t>
      </w:r>
      <w:r/>
    </w:p>
    <w:p>
      <w:pPr>
        <w:ind w:firstLine="3360"/>
        <w:spacing w:before="156" w:line="50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法定代表人</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签字或签章</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w:t>
      </w:r>
      <w:r/>
    </w:p>
    <w:p>
      <w:pPr>
        <w:ind w:firstLine="3360"/>
        <w:spacing w:before="156"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日期：年  月  日</w:t>
      </w:r>
      <w:bookmarkEnd w:id="317"/>
      <w:r/>
      <w:bookmarkEnd w:id="318"/>
      <w:r/>
      <w:r/>
    </w:p>
    <w:p>
      <w:pPr>
        <w:ind w:firstLine="560"/>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w:t>
      </w:r>
      <w:r>
        <w:rPr>
          <w:rFonts w:hint="eastAsia" w:cs="宋体" w:asciiTheme="minorEastAsia" w:hAnsiTheme="minorEastAsia" w:eastAsiaTheme="minorEastAsia"/>
          <w:b/>
          <w:sz w:val="24"/>
          <w:szCs w:val="24"/>
        </w:rPr>
        <w:t xml:space="preserve">招标文件要求的其他资格条件及证明材料</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1.具有有效的营业执照等（附证书的扫描件）；</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sz w:val="20"/>
          <w:szCs w:val="22"/>
        </w:rPr>
        <w:t xml:space="preserve"> </w:t>
      </w:r>
      <w:r>
        <w:rPr>
          <w:rFonts w:hint="eastAsia" w:cs="宋体" w:asciiTheme="minorEastAsia" w:hAnsiTheme="minorEastAsia" w:eastAsiaTheme="minorEastAsia"/>
          <w:sz w:val="24"/>
          <w:szCs w:val="24"/>
        </w:rPr>
        <w:t xml:space="preserve">供应商具有有效的国家文物局颁发的《中华人民共和国考古发掘资质证书》。</w:t>
      </w:r>
      <w:r/>
    </w:p>
    <w:p>
      <w:pPr>
        <w:ind w:firstLine="480"/>
        <w:spacing w:line="500" w:lineRule="exact"/>
        <w:rPr>
          <w:rFonts w:ascii="楷体" w:hAnsi="楷体" w:eastAsia="楷体" w:cs="宋体"/>
          <w:b/>
          <w:sz w:val="24"/>
          <w:szCs w:val="24"/>
        </w:rPr>
      </w:pPr>
      <w:r>
        <w:rPr>
          <w:rFonts w:hint="eastAsia" w:cs="宋体" w:asciiTheme="minorEastAsia" w:hAnsiTheme="minorEastAsia" w:eastAsiaTheme="minorEastAsia"/>
          <w:sz w:val="24"/>
          <w:szCs w:val="24"/>
        </w:rPr>
        <w:t xml:space="preserve">3.中小企业声明函（如有时，参考格式附后）。</w:t>
      </w:r>
      <w:r/>
    </w:p>
    <w:p>
      <w:pPr>
        <w:ind w:firstLine="562"/>
        <w:jc w:val="left"/>
        <w:widowControl/>
        <w:rPr>
          <w:rFonts w:cs="宋体" w:asciiTheme="majorEastAsia" w:hAnsiTheme="majorEastAsia" w:eastAsiaTheme="majorEastAsia"/>
          <w:sz w:val="28"/>
          <w:szCs w:val="28"/>
        </w:rPr>
      </w:pPr>
      <w:r>
        <w:rPr>
          <w:rFonts w:cs="宋体" w:asciiTheme="minorEastAsia" w:hAnsiTheme="minorEastAsia" w:eastAsiaTheme="minorEastAsia"/>
          <w:b/>
          <w:sz w:val="28"/>
          <w:szCs w:val="28"/>
        </w:rPr>
        <w:br w:type="page" w:clear="all"/>
      </w:r>
      <w:r>
        <w:rPr>
          <w:rFonts w:hint="eastAsia" w:cs="宋体" w:asciiTheme="majorEastAsia" w:hAnsiTheme="majorEastAsia" w:eastAsiaTheme="majorEastAsia"/>
          <w:b/>
          <w:sz w:val="28"/>
          <w:szCs w:val="28"/>
        </w:rPr>
        <w:t xml:space="preserve">附件：中小企业声明函</w:t>
      </w:r>
      <w:r/>
    </w:p>
    <w:p>
      <w:pPr>
        <w:ind w:firstLine="640"/>
        <w:jc w:val="center"/>
        <w:spacing w:line="440" w:lineRule="exact"/>
        <w:rPr>
          <w:rFonts w:ascii="黑体" w:eastAsia="黑体"/>
          <w:bCs/>
          <w:sz w:val="28"/>
          <w:szCs w:val="28"/>
        </w:rPr>
      </w:pPr>
      <w:r/>
      <w:bookmarkStart w:id="319" w:name="OLE_LINK22"/>
      <w:r/>
      <w:bookmarkStart w:id="320" w:name="OLE_LINK23"/>
      <w:r>
        <w:rPr>
          <w:rFonts w:hint="eastAsia" w:ascii="黑体" w:eastAsia="黑体"/>
          <w:bCs/>
          <w:sz w:val="28"/>
          <w:szCs w:val="28"/>
        </w:rPr>
        <w:t xml:space="preserve">中小企业声明函</w:t>
      </w:r>
      <w:r/>
    </w:p>
    <w:p>
      <w:pPr>
        <w:ind w:firstLine="560"/>
        <w:spacing w:line="440" w:lineRule="exact"/>
        <w:rPr>
          <w:rFonts w:cs="宋体" w:asciiTheme="minorEastAsia" w:hAnsiTheme="minorEastAsia"/>
          <w:sz w:val="24"/>
          <w:szCs w:val="24"/>
        </w:rPr>
      </w:pPr>
      <w:r>
        <w:rPr>
          <w:rFonts w:hint="eastAsia" w:cs="宋体" w:asciiTheme="minorEastAsia" w:hAnsiTheme="minorEastAsia"/>
          <w:sz w:val="24"/>
          <w:szCs w:val="24"/>
        </w:rPr>
        <w:t xml:space="preserve">本公司（联合体）郑重声明，根据《政府采购促进中小企业发展管理办法》（财库[2020]46号）的规定，本公司（联合体）参加</w:t>
      </w:r>
      <w:r>
        <w:rPr>
          <w:rFonts w:hint="eastAsia" w:cs="宋体" w:asciiTheme="minorEastAsia" w:hAnsiTheme="minorEastAsia"/>
          <w:sz w:val="24"/>
          <w:szCs w:val="24"/>
          <w:u w:val="single"/>
        </w:rPr>
        <w:t xml:space="preserve">（单位名称）</w:t>
      </w:r>
      <w:r>
        <w:rPr>
          <w:rFonts w:hint="eastAsia" w:cs="宋体" w:asciiTheme="minorEastAsia" w:hAnsiTheme="minorEastAsia"/>
          <w:sz w:val="24"/>
          <w:szCs w:val="24"/>
        </w:rPr>
        <w:t xml:space="preserve">的</w:t>
      </w:r>
      <w:r>
        <w:rPr>
          <w:rFonts w:hint="eastAsia" w:cs="宋体" w:asciiTheme="minorEastAsia" w:hAnsiTheme="minorEastAsia"/>
          <w:sz w:val="24"/>
          <w:szCs w:val="24"/>
          <w:u w:val="single"/>
        </w:rPr>
        <w:t xml:space="preserve">（标的名称）</w:t>
      </w:r>
      <w:r>
        <w:rPr>
          <w:rFonts w:hint="eastAsia" w:cs="宋体" w:asciiTheme="minorEastAsia" w:hAnsiTheme="minorEastAsia"/>
          <w:sz w:val="24"/>
          <w:szCs w:val="24"/>
        </w:rPr>
        <w:t xml:space="preserve">采购活动，提供的服务全部由符合政策要求的小微企业提供。相关企业（含联合体中的中小企业、签订分包意向协议的中小企业）的具体情况如下：</w:t>
      </w:r>
      <w:r/>
    </w:p>
    <w:p>
      <w:pPr>
        <w:ind w:firstLine="480"/>
        <w:spacing w:line="440" w:lineRule="exact"/>
        <w:rPr>
          <w:rFonts w:cs="宋体" w:asciiTheme="minorEastAsia" w:hAnsiTheme="minorEastAsia"/>
          <w:sz w:val="24"/>
          <w:szCs w:val="24"/>
          <w:u w:val="single"/>
        </w:rPr>
      </w:pPr>
      <w:r>
        <w:rPr>
          <w:rFonts w:hint="eastAsia" w:cs="宋体" w:asciiTheme="minorEastAsia" w:hAnsiTheme="minorEastAsia"/>
          <w:sz w:val="24"/>
          <w:szCs w:val="24"/>
        </w:rPr>
        <w:t xml:space="preserve">1.</w:t>
      </w:r>
      <w:r>
        <w:rPr>
          <w:rFonts w:hint="eastAsia" w:cs="宋体" w:asciiTheme="minorEastAsia" w:hAnsiTheme="minorEastAsia"/>
          <w:sz w:val="24"/>
          <w:szCs w:val="24"/>
          <w:u w:val="single"/>
        </w:rPr>
        <w:t xml:space="preserve">（标的名称）</w:t>
      </w:r>
      <w:r>
        <w:rPr>
          <w:rFonts w:hint="eastAsia" w:cs="宋体" w:asciiTheme="minorEastAsia" w:hAnsiTheme="minorEastAsia"/>
          <w:sz w:val="24"/>
          <w:szCs w:val="24"/>
        </w:rPr>
        <w:t xml:space="preserve">，属于</w:t>
      </w:r>
      <w:r>
        <w:rPr>
          <w:rFonts w:hint="eastAsia" w:cs="宋体" w:asciiTheme="minorEastAsia" w:hAnsiTheme="minorEastAsia"/>
          <w:sz w:val="24"/>
          <w:szCs w:val="24"/>
          <w:u w:val="single"/>
        </w:rPr>
        <w:t xml:space="preserve">（采购文件中明确的所属行业）</w:t>
      </w:r>
      <w:r>
        <w:rPr>
          <w:rFonts w:hint="eastAsia" w:cs="宋体" w:asciiTheme="minorEastAsia" w:hAnsiTheme="minorEastAsia"/>
          <w:sz w:val="24"/>
          <w:szCs w:val="24"/>
        </w:rPr>
        <w:t xml:space="preserve">；承建（承接）企业为</w:t>
      </w:r>
      <w:r>
        <w:rPr>
          <w:rFonts w:hint="eastAsia" w:cs="宋体" w:asciiTheme="minorEastAsia" w:hAnsiTheme="minorEastAsia"/>
          <w:sz w:val="24"/>
          <w:szCs w:val="24"/>
          <w:u w:val="single"/>
        </w:rPr>
        <w:t xml:space="preserve">（企业名称）</w:t>
      </w:r>
      <w:r>
        <w:rPr>
          <w:rFonts w:hint="eastAsia" w:cs="宋体" w:asciiTheme="minorEastAsia" w:hAnsiTheme="minorEastAsia"/>
          <w:sz w:val="24"/>
          <w:szCs w:val="24"/>
        </w:rPr>
        <w:t xml:space="preserve">，从业人员人，营业收入万元，资产总额万元，属于</w:t>
      </w:r>
      <w:r>
        <w:rPr>
          <w:rFonts w:hint="eastAsia" w:cs="宋体" w:asciiTheme="minorEastAsia" w:hAnsiTheme="minorEastAsia"/>
          <w:sz w:val="24"/>
          <w:szCs w:val="24"/>
          <w:u w:val="single"/>
        </w:rPr>
        <w:t xml:space="preserve">（中型企业、小型企业、微型企业）</w:t>
      </w:r>
      <w:r>
        <w:rPr>
          <w:rFonts w:hint="eastAsia" w:cs="宋体" w:asciiTheme="minorEastAsia" w:hAnsiTheme="minorEastAsia"/>
          <w:sz w:val="24"/>
          <w:szCs w:val="24"/>
        </w:rPr>
        <w:t xml:space="preserve">；</w:t>
      </w:r>
      <w:r/>
    </w:p>
    <w:p>
      <w:pPr>
        <w:ind w:firstLine="480"/>
        <w:spacing w:line="440" w:lineRule="exact"/>
        <w:rPr>
          <w:rFonts w:cs="宋体" w:asciiTheme="minorEastAsia" w:hAnsiTheme="minorEastAsia"/>
          <w:sz w:val="24"/>
          <w:szCs w:val="24"/>
          <w:u w:val="single"/>
        </w:rPr>
      </w:pPr>
      <w:r>
        <w:rPr>
          <w:rFonts w:hint="eastAsia" w:cs="宋体" w:asciiTheme="minorEastAsia" w:hAnsiTheme="minorEastAsia"/>
          <w:sz w:val="24"/>
          <w:szCs w:val="24"/>
        </w:rPr>
        <w:t xml:space="preserve">2.</w:t>
      </w:r>
      <w:r>
        <w:rPr>
          <w:rFonts w:hint="eastAsia" w:cs="宋体" w:asciiTheme="minorEastAsia" w:hAnsiTheme="minorEastAsia"/>
          <w:sz w:val="24"/>
          <w:szCs w:val="24"/>
          <w:u w:val="single"/>
        </w:rPr>
        <w:t xml:space="preserve">（标的名称）</w:t>
      </w:r>
      <w:r>
        <w:rPr>
          <w:rFonts w:hint="eastAsia" w:cs="宋体" w:asciiTheme="minorEastAsia" w:hAnsiTheme="minorEastAsia"/>
          <w:sz w:val="24"/>
          <w:szCs w:val="24"/>
        </w:rPr>
        <w:t xml:space="preserve">，属于</w:t>
      </w:r>
      <w:r>
        <w:rPr>
          <w:rFonts w:hint="eastAsia" w:cs="宋体" w:asciiTheme="minorEastAsia" w:hAnsiTheme="minorEastAsia"/>
          <w:sz w:val="24"/>
          <w:szCs w:val="24"/>
          <w:u w:val="single"/>
        </w:rPr>
        <w:t xml:space="preserve">（采购文件中明确的所属行业）</w:t>
      </w:r>
      <w:r>
        <w:rPr>
          <w:rFonts w:hint="eastAsia" w:cs="宋体" w:asciiTheme="minorEastAsia" w:hAnsiTheme="minorEastAsia"/>
          <w:sz w:val="24"/>
          <w:szCs w:val="24"/>
        </w:rPr>
        <w:t xml:space="preserve">；承建（承接）企业为</w:t>
      </w:r>
      <w:r>
        <w:rPr>
          <w:rFonts w:hint="eastAsia" w:cs="宋体" w:asciiTheme="minorEastAsia" w:hAnsiTheme="minorEastAsia"/>
          <w:sz w:val="24"/>
          <w:szCs w:val="24"/>
          <w:u w:val="single"/>
        </w:rPr>
        <w:t xml:space="preserve">（企业名称）</w:t>
      </w:r>
      <w:r>
        <w:rPr>
          <w:rFonts w:hint="eastAsia" w:cs="宋体" w:asciiTheme="minorEastAsia" w:hAnsiTheme="minorEastAsia"/>
          <w:sz w:val="24"/>
          <w:szCs w:val="24"/>
        </w:rPr>
        <w:t xml:space="preserve">，从业人员人，营业收入万元，资产总额万元，属于</w:t>
      </w:r>
      <w:r>
        <w:rPr>
          <w:rFonts w:hint="eastAsia" w:cs="宋体" w:asciiTheme="minorEastAsia" w:hAnsiTheme="minorEastAsia"/>
          <w:sz w:val="24"/>
          <w:szCs w:val="24"/>
          <w:u w:val="single"/>
        </w:rPr>
        <w:t xml:space="preserve">（中型企业、小型企业、微型企业）</w:t>
      </w:r>
      <w:r>
        <w:rPr>
          <w:rFonts w:hint="eastAsia" w:cs="宋体" w:asciiTheme="minorEastAsia" w:hAnsiTheme="minorEastAsia"/>
          <w:sz w:val="24"/>
          <w:szCs w:val="24"/>
        </w:rPr>
        <w:t xml:space="preserve">；</w:t>
      </w:r>
      <w:r/>
    </w:p>
    <w:p>
      <w:pPr>
        <w:pStyle w:val="951"/>
        <w:ind w:left="1260" w:firstLine="0"/>
        <w:spacing w:line="440" w:lineRule="exact"/>
        <w:rPr>
          <w:rFonts w:ascii="ΟGB2312" w:hAnsi="宋体" w:eastAsia="ΟGB2312" w:cs="宋体"/>
          <w:sz w:val="24"/>
          <w:szCs w:val="24"/>
        </w:rPr>
      </w:pPr>
      <w:r>
        <w:rPr>
          <w:rFonts w:ascii="ΟGB2312" w:hAnsi="宋体" w:eastAsia="ΟGB2312" w:cs="宋体"/>
          <w:sz w:val="24"/>
          <w:szCs w:val="24"/>
        </w:rPr>
        <w:t xml:space="preserve">……</w:t>
      </w:r>
      <w:r/>
    </w:p>
    <w:p>
      <w:pPr>
        <w:ind w:firstLine="480"/>
        <w:spacing w:line="440" w:lineRule="exact"/>
        <w:rPr>
          <w:rFonts w:ascii="ΟGB2312" w:hAnsi="宋体" w:eastAsia="ΟGB2312" w:cs="宋体"/>
          <w:sz w:val="24"/>
          <w:szCs w:val="24"/>
        </w:rPr>
      </w:pPr>
      <w:r>
        <w:rPr>
          <w:rFonts w:hint="eastAsia" w:ascii="ΟGB2312" w:hAnsi="宋体" w:eastAsia="ΟGB2312" w:cs="宋体"/>
          <w:sz w:val="24"/>
          <w:szCs w:val="24"/>
        </w:rPr>
        <w:t xml:space="preserve">以上企业，不属于大企业的分支机构，不存在控股股东为大企业的情形，也不存在与大企业的负责人为同一人的情形。</w:t>
      </w:r>
      <w:r/>
    </w:p>
    <w:p>
      <w:pPr>
        <w:ind w:firstLine="560"/>
        <w:spacing w:line="440" w:lineRule="exact"/>
        <w:rPr>
          <w:rFonts w:ascii="ΟGB2312" w:hAnsi="宋体" w:eastAsia="ΟGB2312" w:cs="宋体"/>
          <w:sz w:val="24"/>
          <w:szCs w:val="24"/>
        </w:rPr>
      </w:pPr>
      <w:r>
        <w:rPr>
          <w:rFonts w:hint="eastAsia" w:ascii="ΟGB2312" w:hAnsi="宋体" w:eastAsia="ΟGB2312" w:cs="宋体"/>
          <w:sz w:val="24"/>
          <w:szCs w:val="24"/>
        </w:rPr>
        <w:t xml:space="preserve">本企业对上述声明内容的真实性负责。如有虚假，将依法承担相应责任。</w:t>
      </w:r>
      <w:r/>
    </w:p>
    <w:p>
      <w:pPr>
        <w:ind w:firstLine="4080"/>
        <w:spacing w:line="440" w:lineRule="exact"/>
        <w:rPr>
          <w:rFonts w:ascii="ΟGB2312" w:hAnsi="宋体" w:eastAsia="ΟGB2312" w:cs="宋体"/>
          <w:sz w:val="24"/>
          <w:szCs w:val="24"/>
        </w:rPr>
      </w:pPr>
      <w:r>
        <w:rPr>
          <w:rFonts w:hint="eastAsia" w:ascii="ΟGB2312" w:hAnsi="宋体" w:eastAsia="ΟGB2312" w:cs="宋体"/>
          <w:sz w:val="24"/>
          <w:szCs w:val="24"/>
        </w:rPr>
        <w:t xml:space="preserve">企业名称（盖章）：</w:t>
      </w:r>
      <w:r/>
    </w:p>
    <w:p>
      <w:pPr>
        <w:ind w:firstLine="4080"/>
        <w:spacing w:line="440" w:lineRule="exact"/>
        <w:rPr>
          <w:rFonts w:ascii="ΟGB2312" w:hAnsi="宋体" w:eastAsia="ΟGB2312" w:cs="宋体"/>
          <w:sz w:val="24"/>
          <w:szCs w:val="24"/>
        </w:rPr>
      </w:pPr>
      <w:r>
        <w:rPr>
          <w:rFonts w:hint="eastAsia" w:ascii="ΟGB2312" w:hAnsi="宋体" w:eastAsia="ΟGB2312" w:cs="宋体"/>
          <w:sz w:val="24"/>
          <w:szCs w:val="24"/>
        </w:rPr>
        <w:t xml:space="preserve">日期：</w:t>
      </w:r>
      <w:r/>
    </w:p>
    <w:p>
      <w:pPr>
        <w:pStyle w:val="953"/>
        <w:spacing w:line="440" w:lineRule="exact"/>
        <w:rPr>
          <w:rFonts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注：1、从业人员、营业收入填报上一年度数据，无上一年度数据的新成立企业可不填报。</w:t>
      </w:r>
      <w:r/>
    </w:p>
    <w:p>
      <w:pPr>
        <w:ind w:firstLine="480"/>
        <w:spacing w:line="440" w:lineRule="exact"/>
        <w:rPr>
          <w:rFonts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2、供应商如不提供此声明函，价格将不做相应扣除。</w:t>
      </w:r>
      <w:r/>
    </w:p>
    <w:p>
      <w:pPr>
        <w:ind w:firstLine="480"/>
        <w:spacing w:line="440" w:lineRule="exact"/>
        <w:rPr>
          <w:rFonts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3、供应商提供的声明函内容不实的，属于提供虚假材料谋取中标，依照《中华人民共和国政府采购法》等国家有关规定追究相应责任。</w:t>
      </w:r>
      <w:bookmarkEnd w:id="319"/>
      <w:r/>
      <w:bookmarkEnd w:id="320"/>
      <w:r/>
      <w:r/>
    </w:p>
    <w:p>
      <w:pPr>
        <w:jc w:val="left"/>
        <w:widowControl/>
        <w:rPr>
          <w:rFonts w:cs="宋体" w:asciiTheme="majorEastAsia" w:hAnsiTheme="majorEastAsia" w:eastAsiaTheme="majorEastAsia"/>
          <w:sz w:val="28"/>
          <w:szCs w:val="28"/>
        </w:rPr>
      </w:pPr>
      <w:r>
        <w:rPr>
          <w:rFonts w:cs="宋体" w:asciiTheme="majorEastAsia" w:hAnsiTheme="majorEastAsia" w:eastAsiaTheme="majorEastAsia"/>
          <w:sz w:val="28"/>
          <w:szCs w:val="28"/>
        </w:rPr>
      </w:r>
      <w:r/>
    </w:p>
    <w:p>
      <w:pPr>
        <w:jc w:val="left"/>
        <w:widowControl/>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3.</w:t>
      </w:r>
      <w:r>
        <w:rPr>
          <w:rFonts w:hint="eastAsia" w:cs="宋体" w:asciiTheme="minorEastAsia" w:hAnsiTheme="minorEastAsia" w:eastAsiaTheme="minorEastAsia"/>
          <w:b/>
          <w:sz w:val="28"/>
          <w:szCs w:val="28"/>
          <w:lang w:val="en-US" w:eastAsia="zh-CN"/>
        </w:rPr>
        <w:t xml:space="preserve">7</w:t>
      </w:r>
      <w:r>
        <w:rPr>
          <w:rFonts w:hint="eastAsia" w:cs="宋体" w:asciiTheme="minorEastAsia" w:hAnsiTheme="minorEastAsia" w:eastAsiaTheme="minorEastAsia"/>
          <w:b/>
          <w:sz w:val="28"/>
          <w:szCs w:val="28"/>
        </w:rPr>
        <w:t xml:space="preserve">采购需求响应表（格式自拟）</w:t>
      </w:r>
      <w:r/>
    </w:p>
    <w:p>
      <w:pPr>
        <w:jc w:val="left"/>
        <w:widowControl/>
      </w:pPr>
      <w:r>
        <w:rPr>
          <w:rFonts w:hint="eastAsia" w:cs="宋体" w:asciiTheme="minorEastAsia" w:hAnsiTheme="minorEastAsia" w:eastAsiaTheme="minorEastAsia"/>
          <w:b/>
          <w:sz w:val="28"/>
          <w:szCs w:val="28"/>
        </w:rPr>
        <w:t xml:space="preserve">3.8对照第三章资格审查及评标办法，认为应列入投标文件的其他材料。</w:t>
      </w:r>
      <w:bookmarkEnd w:id="28"/>
      <w:r/>
      <w:bookmarkEnd w:id="250"/>
      <w:r/>
      <w:bookmarkEnd w:id="251"/>
      <w:r/>
      <w:bookmarkEnd w:id="278"/>
      <w:r/>
      <w:bookmarkEnd w:id="279"/>
      <w:r/>
      <w:bookmarkEnd w:id="280"/>
      <w:r/>
      <w:bookmarkEnd w:id="281"/>
      <w:r/>
      <w:bookmarkEnd w:id="282"/>
      <w:r/>
      <w:bookmarkEnd w:id="283"/>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楷体">
    <w:panose1 w:val="02010609060101010101"/>
  </w:font>
  <w:font w:name="Symbol">
    <w:panose1 w:val="05050102010706020507"/>
  </w:font>
  <w:font w:name="Wingdings">
    <w:panose1 w:val="05000000000000000000"/>
  </w:font>
  <w:font w:name="方正黑体_GBK">
    <w:panose1 w:val="020B0503020202020204"/>
  </w:font>
  <w:font w:name="华文细黑">
    <w:panose1 w:val="02010600040101010101"/>
  </w:font>
  <w:font w:name="MingLiU">
    <w:panose1 w:val="02020500000000000000"/>
  </w:font>
  <w:font w:name="仿宋">
    <w:panose1 w:val="02010609060101010101"/>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fldChar w:fldCharType="begin"/>
    </w:r>
    <w:r>
      <w:instrText xml:space="preserve"> PAGE   \* MERGEFORMAT </w:instrText>
    </w:r>
    <w:r>
      <w:fldChar w:fldCharType="separate"/>
    </w:r>
    <w:r>
      <w:rPr>
        <w:lang w:val="zh-CN"/>
      </w:rPr>
      <w:t xml:space="preserve">46</w:t>
    </w:r>
    <w:r>
      <w:rPr>
        <w:lang w:val="zh-CN"/>
      </w:rPr>
      <w:fldChar w:fldCharType="end"/>
    </w:r>
    <w:r/>
  </w:p>
  <w:p>
    <w:pPr>
      <w:pStyle w:val="8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4"/>
      <w:numFmt w:val="chineseCounting"/>
      <w:isLgl w:val="false"/>
      <w:suff w:val="space"/>
      <w:lvlText w:val="第%1章"/>
      <w:lvlJc w:val="left"/>
      <w:pPr>
        <w:ind w:left="2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pStyle w:val="108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838"/>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33"/>
    <w:link w:val="824"/>
    <w:uiPriority w:val="9"/>
    <w:rPr>
      <w:rFonts w:ascii="Arial" w:hAnsi="Arial" w:eastAsia="Arial" w:cs="Arial"/>
      <w:sz w:val="40"/>
      <w:szCs w:val="40"/>
    </w:rPr>
  </w:style>
  <w:style w:type="character" w:styleId="675">
    <w:name w:val="Heading 2 Char"/>
    <w:basedOn w:val="833"/>
    <w:link w:val="825"/>
    <w:uiPriority w:val="9"/>
    <w:rPr>
      <w:rFonts w:ascii="Arial" w:hAnsi="Arial" w:eastAsia="Arial" w:cs="Arial"/>
      <w:sz w:val="34"/>
    </w:rPr>
  </w:style>
  <w:style w:type="character" w:styleId="676">
    <w:name w:val="Heading 3 Char"/>
    <w:basedOn w:val="833"/>
    <w:link w:val="826"/>
    <w:uiPriority w:val="9"/>
    <w:rPr>
      <w:rFonts w:ascii="Arial" w:hAnsi="Arial" w:eastAsia="Arial" w:cs="Arial"/>
      <w:sz w:val="30"/>
      <w:szCs w:val="30"/>
    </w:rPr>
  </w:style>
  <w:style w:type="character" w:styleId="677">
    <w:name w:val="Heading 4 Char"/>
    <w:basedOn w:val="833"/>
    <w:link w:val="827"/>
    <w:uiPriority w:val="9"/>
    <w:rPr>
      <w:rFonts w:ascii="Arial" w:hAnsi="Arial" w:eastAsia="Arial" w:cs="Arial"/>
      <w:b/>
      <w:bCs/>
      <w:sz w:val="26"/>
      <w:szCs w:val="26"/>
    </w:rPr>
  </w:style>
  <w:style w:type="character" w:styleId="678">
    <w:name w:val="Heading 5 Char"/>
    <w:basedOn w:val="833"/>
    <w:link w:val="828"/>
    <w:uiPriority w:val="9"/>
    <w:rPr>
      <w:rFonts w:ascii="Arial" w:hAnsi="Arial" w:eastAsia="Arial" w:cs="Arial"/>
      <w:b/>
      <w:bCs/>
      <w:sz w:val="24"/>
      <w:szCs w:val="24"/>
    </w:rPr>
  </w:style>
  <w:style w:type="character" w:styleId="679">
    <w:name w:val="Heading 6 Char"/>
    <w:basedOn w:val="833"/>
    <w:link w:val="829"/>
    <w:uiPriority w:val="9"/>
    <w:rPr>
      <w:rFonts w:ascii="Arial" w:hAnsi="Arial" w:eastAsia="Arial" w:cs="Arial"/>
      <w:b/>
      <w:bCs/>
      <w:sz w:val="22"/>
      <w:szCs w:val="22"/>
    </w:rPr>
  </w:style>
  <w:style w:type="character" w:styleId="680">
    <w:name w:val="Heading 7 Char"/>
    <w:basedOn w:val="833"/>
    <w:link w:val="830"/>
    <w:uiPriority w:val="9"/>
    <w:rPr>
      <w:rFonts w:ascii="Arial" w:hAnsi="Arial" w:eastAsia="Arial" w:cs="Arial"/>
      <w:b/>
      <w:bCs/>
      <w:i/>
      <w:iCs/>
      <w:sz w:val="22"/>
      <w:szCs w:val="22"/>
    </w:rPr>
  </w:style>
  <w:style w:type="character" w:styleId="681">
    <w:name w:val="Heading 8 Char"/>
    <w:basedOn w:val="833"/>
    <w:link w:val="831"/>
    <w:uiPriority w:val="9"/>
    <w:rPr>
      <w:rFonts w:ascii="Arial" w:hAnsi="Arial" w:eastAsia="Arial" w:cs="Arial"/>
      <w:i/>
      <w:iCs/>
      <w:sz w:val="22"/>
      <w:szCs w:val="22"/>
    </w:rPr>
  </w:style>
  <w:style w:type="character" w:styleId="682">
    <w:name w:val="Heading 9 Char"/>
    <w:basedOn w:val="833"/>
    <w:link w:val="832"/>
    <w:uiPriority w:val="9"/>
    <w:rPr>
      <w:rFonts w:ascii="Arial" w:hAnsi="Arial" w:eastAsia="Arial" w:cs="Arial"/>
      <w:i/>
      <w:iCs/>
      <w:sz w:val="21"/>
      <w:szCs w:val="21"/>
    </w:rPr>
  </w:style>
  <w:style w:type="character" w:styleId="683">
    <w:name w:val="Title Char"/>
    <w:basedOn w:val="833"/>
    <w:link w:val="867"/>
    <w:uiPriority w:val="10"/>
    <w:rPr>
      <w:sz w:val="48"/>
      <w:szCs w:val="48"/>
    </w:rPr>
  </w:style>
  <w:style w:type="character" w:styleId="684">
    <w:name w:val="Subtitle Char"/>
    <w:basedOn w:val="833"/>
    <w:link w:val="858"/>
    <w:uiPriority w:val="11"/>
    <w:rPr>
      <w:sz w:val="24"/>
      <w:szCs w:val="24"/>
    </w:rPr>
  </w:style>
  <w:style w:type="paragraph" w:styleId="685">
    <w:name w:val="Quote"/>
    <w:basedOn w:val="823"/>
    <w:next w:val="823"/>
    <w:link w:val="686"/>
    <w:uiPriority w:val="29"/>
    <w:qFormat/>
    <w:pPr>
      <w:ind w:left="720" w:right="720"/>
    </w:pPr>
    <w:rPr>
      <w:i/>
    </w:rPr>
  </w:style>
  <w:style w:type="character" w:styleId="686">
    <w:name w:val="Quote Char"/>
    <w:link w:val="685"/>
    <w:uiPriority w:val="29"/>
    <w:rPr>
      <w:i/>
    </w:rPr>
  </w:style>
  <w:style w:type="paragraph" w:styleId="687">
    <w:name w:val="Intense Quote"/>
    <w:basedOn w:val="823"/>
    <w:next w:val="823"/>
    <w:link w:val="6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name w:val="Intense Quote Char"/>
    <w:link w:val="687"/>
    <w:uiPriority w:val="30"/>
    <w:rPr>
      <w:i/>
    </w:rPr>
  </w:style>
  <w:style w:type="character" w:styleId="689">
    <w:name w:val="Header Char"/>
    <w:basedOn w:val="833"/>
    <w:link w:val="855"/>
    <w:uiPriority w:val="99"/>
  </w:style>
  <w:style w:type="character" w:styleId="690">
    <w:name w:val="Footer Char"/>
    <w:basedOn w:val="833"/>
    <w:link w:val="853"/>
    <w:uiPriority w:val="99"/>
  </w:style>
  <w:style w:type="character" w:styleId="691">
    <w:name w:val="Caption Char"/>
    <w:basedOn w:val="839"/>
    <w:link w:val="853"/>
    <w:uiPriority w:val="99"/>
  </w:style>
  <w:style w:type="table" w:styleId="692">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8">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9">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0">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1">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2">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3">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4">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5">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6">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7">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8">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1">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2">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3">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4">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5">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4">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5">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6">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7">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8">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9">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1">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2">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3">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4">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5">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6">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7">
    <w:name w:val="Footnote Text Char"/>
    <w:link w:val="859"/>
    <w:uiPriority w:val="99"/>
    <w:rPr>
      <w:sz w:val="18"/>
    </w:rPr>
  </w:style>
  <w:style w:type="paragraph" w:styleId="818">
    <w:name w:val="endnote text"/>
    <w:basedOn w:val="823"/>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basedOn w:val="833"/>
    <w:uiPriority w:val="99"/>
    <w:semiHidden/>
    <w:unhideWhenUsed/>
    <w:rPr>
      <w:vertAlign w:val="superscript"/>
    </w:rPr>
  </w:style>
  <w:style w:type="paragraph" w:styleId="821">
    <w:name w:val="TOC Heading"/>
    <w:uiPriority w:val="39"/>
    <w:unhideWhenUsed/>
  </w:style>
  <w:style w:type="paragraph" w:styleId="822">
    <w:name w:val="table of figures"/>
    <w:basedOn w:val="823"/>
    <w:next w:val="823"/>
    <w:uiPriority w:val="99"/>
    <w:unhideWhenUsed/>
    <w:pPr>
      <w:spacing w:after="0" w:afterAutospacing="0"/>
    </w:pPr>
  </w:style>
  <w:style w:type="paragraph" w:styleId="8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4">
    <w:name w:val="Heading 1"/>
    <w:basedOn w:val="823"/>
    <w:next w:val="823"/>
    <w:link w:val="1092"/>
    <w:uiPriority w:val="99"/>
    <w:qFormat/>
    <w:pPr>
      <w:jc w:val="center"/>
      <w:keepNext/>
      <w:outlineLvl w:val="0"/>
    </w:pPr>
    <w:rPr>
      <w:rFonts w:ascii="楷体_GB2312" w:eastAsia="楷体_GB2312"/>
      <w:sz w:val="28"/>
      <w:szCs w:val="28"/>
    </w:rPr>
  </w:style>
  <w:style w:type="paragraph" w:styleId="825">
    <w:name w:val="Heading 2"/>
    <w:basedOn w:val="823"/>
    <w:next w:val="835"/>
    <w:link w:val="882"/>
    <w:uiPriority w:val="99"/>
    <w:qFormat/>
    <w:pPr>
      <w:ind w:firstLine="482"/>
      <w:spacing w:line="360" w:lineRule="auto"/>
      <w:outlineLvl w:val="1"/>
    </w:pPr>
    <w:rPr>
      <w:rFonts w:asciiTheme="minorEastAsia" w:hAnsiTheme="minorEastAsia" w:eastAsiaTheme="minorEastAsia" w:cstheme="minorEastAsia"/>
      <w:b/>
      <w:sz w:val="24"/>
    </w:rPr>
  </w:style>
  <w:style w:type="paragraph" w:styleId="826">
    <w:name w:val="Heading 3"/>
    <w:basedOn w:val="823"/>
    <w:next w:val="835"/>
    <w:link w:val="883"/>
    <w:uiPriority w:val="9"/>
    <w:qFormat/>
    <w:pPr>
      <w:keepLines/>
      <w:keepNext/>
      <w:spacing w:before="260" w:after="260" w:line="415" w:lineRule="auto"/>
      <w:outlineLvl w:val="2"/>
    </w:pPr>
    <w:rPr>
      <w:sz w:val="32"/>
      <w:szCs w:val="32"/>
    </w:rPr>
  </w:style>
  <w:style w:type="paragraph" w:styleId="827">
    <w:name w:val="Heading 4"/>
    <w:basedOn w:val="823"/>
    <w:next w:val="823"/>
    <w:link w:val="884"/>
    <w:uiPriority w:val="99"/>
    <w:qFormat/>
    <w:pPr>
      <w:keepLines/>
      <w:keepNext/>
      <w:spacing w:before="280" w:after="290" w:line="374" w:lineRule="auto"/>
      <w:outlineLvl w:val="3"/>
    </w:pPr>
    <w:rPr>
      <w:rFonts w:ascii="Arial" w:hAnsi="Arial" w:eastAsia="黑体" w:cs="Arial"/>
      <w:sz w:val="28"/>
      <w:szCs w:val="28"/>
    </w:rPr>
  </w:style>
  <w:style w:type="paragraph" w:styleId="828">
    <w:name w:val="Heading 5"/>
    <w:basedOn w:val="823"/>
    <w:next w:val="835"/>
    <w:link w:val="885"/>
    <w:uiPriority w:val="99"/>
    <w:qFormat/>
    <w:pPr>
      <w:keepNext/>
      <w:outlineLvl w:val="4"/>
    </w:pPr>
    <w:rPr>
      <w:rFonts w:ascii="宋体"/>
      <w:color w:val="000000"/>
      <w:sz w:val="28"/>
      <w:szCs w:val="28"/>
    </w:rPr>
  </w:style>
  <w:style w:type="paragraph" w:styleId="829">
    <w:name w:val="Heading 6"/>
    <w:basedOn w:val="823"/>
    <w:next w:val="823"/>
    <w:link w:val="886"/>
    <w:uiPriority w:val="99"/>
    <w:qFormat/>
    <w:pPr>
      <w:keepLines/>
      <w:keepNext/>
      <w:spacing w:before="240" w:after="64" w:line="319" w:lineRule="auto"/>
      <w:outlineLvl w:val="5"/>
    </w:pPr>
    <w:rPr>
      <w:rFonts w:ascii="Arial" w:hAnsi="Arial" w:eastAsia="黑体"/>
      <w:b/>
      <w:bCs/>
      <w:sz w:val="24"/>
    </w:rPr>
  </w:style>
  <w:style w:type="paragraph" w:styleId="830">
    <w:name w:val="Heading 7"/>
    <w:basedOn w:val="823"/>
    <w:next w:val="823"/>
    <w:link w:val="887"/>
    <w:uiPriority w:val="99"/>
    <w:qFormat/>
    <w:pPr>
      <w:keepLines/>
      <w:keepNext/>
      <w:spacing w:before="240" w:after="64" w:line="319" w:lineRule="auto"/>
      <w:outlineLvl w:val="6"/>
    </w:pPr>
    <w:rPr>
      <w:b/>
      <w:bCs/>
      <w:sz w:val="24"/>
    </w:rPr>
  </w:style>
  <w:style w:type="paragraph" w:styleId="831">
    <w:name w:val="Heading 8"/>
    <w:basedOn w:val="823"/>
    <w:next w:val="823"/>
    <w:link w:val="888"/>
    <w:uiPriority w:val="99"/>
    <w:qFormat/>
    <w:pPr>
      <w:keepLines/>
      <w:keepNext/>
      <w:spacing w:before="240" w:after="64" w:line="319" w:lineRule="auto"/>
      <w:outlineLvl w:val="7"/>
    </w:pPr>
    <w:rPr>
      <w:rFonts w:ascii="Arial" w:hAnsi="Arial" w:eastAsia="黑体"/>
      <w:sz w:val="24"/>
    </w:rPr>
  </w:style>
  <w:style w:type="paragraph" w:styleId="832">
    <w:name w:val="Heading 9"/>
    <w:basedOn w:val="823"/>
    <w:next w:val="823"/>
    <w:link w:val="889"/>
    <w:uiPriority w:val="99"/>
    <w:qFormat/>
    <w:pPr>
      <w:keepLines/>
      <w:keepNext/>
      <w:spacing w:before="240" w:after="64" w:line="319" w:lineRule="auto"/>
      <w:outlineLvl w:val="8"/>
    </w:pPr>
    <w:rPr>
      <w:rFonts w:ascii="Arial" w:hAnsi="Arial" w:eastAsia="黑体"/>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Normal Indent"/>
    <w:basedOn w:val="823"/>
    <w:uiPriority w:val="0"/>
    <w:qFormat/>
    <w:pPr>
      <w:ind w:firstLine="420"/>
    </w:pPr>
    <w:rPr>
      <w:szCs w:val="21"/>
    </w:rPr>
  </w:style>
  <w:style w:type="paragraph" w:styleId="836">
    <w:name w:val="toc 7"/>
    <w:basedOn w:val="823"/>
    <w:next w:val="823"/>
    <w:uiPriority w:val="99"/>
    <w:qFormat/>
    <w:pPr>
      <w:ind w:left="2520"/>
    </w:pPr>
    <w:rPr>
      <w:rFonts w:ascii="Calibri" w:hAnsi="Calibri"/>
      <w:szCs w:val="22"/>
    </w:rPr>
  </w:style>
  <w:style w:type="paragraph" w:styleId="837">
    <w:name w:val="index 8"/>
    <w:basedOn w:val="823"/>
    <w:next w:val="823"/>
    <w:uiPriority w:val="0"/>
    <w:qFormat/>
    <w:pPr>
      <w:ind w:left="2940"/>
      <w:jc w:val="center"/>
    </w:pPr>
  </w:style>
  <w:style w:type="paragraph" w:styleId="838">
    <w:name w:val="List Number"/>
    <w:basedOn w:val="823"/>
    <w:link w:val="1052"/>
    <w:uiPriority w:val="99"/>
    <w:qFormat/>
    <w:pPr>
      <w:numPr>
        <w:ilvl w:val="0"/>
        <w:numId w:val="1"/>
      </w:numPr>
    </w:pPr>
    <w:rPr>
      <w:sz w:val="24"/>
    </w:rPr>
  </w:style>
  <w:style w:type="paragraph" w:styleId="839">
    <w:name w:val="Caption"/>
    <w:basedOn w:val="823"/>
    <w:next w:val="823"/>
    <w:link w:val="1061"/>
    <w:uiPriority w:val="99"/>
    <w:qFormat/>
    <w:pPr>
      <w:jc w:val="center"/>
      <w:spacing w:line="400" w:lineRule="atLeast"/>
    </w:pPr>
    <w:rPr>
      <w:rFonts w:ascii="黑体" w:eastAsia="黑体" w:cs="Arial"/>
      <w:sz w:val="24"/>
      <w:szCs w:val="20"/>
    </w:rPr>
  </w:style>
  <w:style w:type="paragraph" w:styleId="840">
    <w:name w:val="Document Map"/>
    <w:basedOn w:val="823"/>
    <w:link w:val="952"/>
    <w:uiPriority w:val="99"/>
    <w:qFormat/>
    <w:pPr>
      <w:shd w:val="clear" w:color="auto" w:fill="000080"/>
    </w:pPr>
    <w:rPr>
      <w:rFonts w:ascii="Calibri" w:hAnsi="Calibri" w:eastAsiaTheme="minorEastAsia" w:cstheme="minorBidi"/>
    </w:rPr>
  </w:style>
  <w:style w:type="paragraph" w:styleId="841">
    <w:name w:val="annotation text"/>
    <w:basedOn w:val="823"/>
    <w:link w:val="957"/>
    <w:uiPriority w:val="0"/>
    <w:unhideWhenUsed/>
    <w:qFormat/>
    <w:pPr>
      <w:jc w:val="left"/>
    </w:pPr>
  </w:style>
  <w:style w:type="paragraph" w:styleId="842">
    <w:name w:val="Body Text 3"/>
    <w:basedOn w:val="823"/>
    <w:link w:val="950"/>
    <w:uiPriority w:val="99"/>
    <w:qFormat/>
    <w:rPr>
      <w:rFonts w:ascii="仿宋_GB2312" w:hAnsi="Arial" w:eastAsia="仿宋_GB2312" w:cstheme="minorBidi"/>
      <w:sz w:val="32"/>
      <w:szCs w:val="32"/>
    </w:rPr>
  </w:style>
  <w:style w:type="paragraph" w:styleId="843">
    <w:name w:val="Body Text"/>
    <w:basedOn w:val="823"/>
    <w:link w:val="893"/>
    <w:uiPriority w:val="99"/>
    <w:unhideWhenUsed/>
    <w:qFormat/>
    <w:pPr>
      <w:spacing w:after="120"/>
    </w:pPr>
  </w:style>
  <w:style w:type="paragraph" w:styleId="844">
    <w:name w:val="Body Text Indent"/>
    <w:basedOn w:val="823"/>
    <w:link w:val="935"/>
    <w:uiPriority w:val="99"/>
    <w:qFormat/>
    <w:pPr>
      <w:ind w:firstLine="645"/>
    </w:pPr>
    <w:rPr>
      <w:rFonts w:ascii="楷体_GB2312" w:hAnsi="Calibri" w:eastAsia="楷体_GB2312" w:cstheme="minorBidi"/>
      <w:sz w:val="32"/>
      <w:szCs w:val="32"/>
    </w:rPr>
  </w:style>
  <w:style w:type="paragraph" w:styleId="845">
    <w:name w:val="Block Text"/>
    <w:basedOn w:val="823"/>
    <w:uiPriority w:val="0"/>
    <w:qFormat/>
    <w:pPr>
      <w:ind w:left="567" w:right="454" w:firstLine="480"/>
      <w:jc w:val="left"/>
      <w:widowControl/>
    </w:pPr>
    <w:rPr>
      <w:rFonts w:ascii="仿宋_GB2312" w:eastAsia="仿宋_GB2312"/>
      <w:sz w:val="30"/>
      <w:szCs w:val="20"/>
    </w:rPr>
  </w:style>
  <w:style w:type="paragraph" w:styleId="846">
    <w:name w:val="toc 5"/>
    <w:basedOn w:val="823"/>
    <w:next w:val="823"/>
    <w:uiPriority w:val="99"/>
    <w:qFormat/>
    <w:pPr>
      <w:ind w:left="1680"/>
    </w:pPr>
    <w:rPr>
      <w:rFonts w:ascii="Calibri" w:hAnsi="Calibri"/>
      <w:szCs w:val="22"/>
    </w:rPr>
  </w:style>
  <w:style w:type="paragraph" w:styleId="847">
    <w:name w:val="toc 3"/>
    <w:basedOn w:val="823"/>
    <w:next w:val="823"/>
    <w:uiPriority w:val="99"/>
    <w:qFormat/>
    <w:pPr>
      <w:ind w:left="420"/>
      <w:jc w:val="left"/>
    </w:pPr>
    <w:rPr>
      <w:i/>
      <w:iCs/>
    </w:rPr>
  </w:style>
  <w:style w:type="paragraph" w:styleId="848">
    <w:name w:val="Plain Text"/>
    <w:basedOn w:val="823"/>
    <w:link w:val="949"/>
    <w:uiPriority w:val="99"/>
    <w:qFormat/>
    <w:rPr>
      <w:rFonts w:ascii="宋体" w:hAnsi="Courier New" w:eastAsiaTheme="minorEastAsia" w:cstheme="minorBidi"/>
      <w:szCs w:val="22"/>
    </w:rPr>
  </w:style>
  <w:style w:type="paragraph" w:styleId="849">
    <w:name w:val="toc 8"/>
    <w:basedOn w:val="823"/>
    <w:next w:val="823"/>
    <w:uiPriority w:val="99"/>
    <w:qFormat/>
    <w:pPr>
      <w:ind w:left="2940"/>
    </w:pPr>
    <w:rPr>
      <w:rFonts w:ascii="Calibri" w:hAnsi="Calibri"/>
      <w:szCs w:val="22"/>
    </w:rPr>
  </w:style>
  <w:style w:type="paragraph" w:styleId="850">
    <w:name w:val="Date"/>
    <w:basedOn w:val="823"/>
    <w:next w:val="823"/>
    <w:link w:val="936"/>
    <w:uiPriority w:val="99"/>
    <w:qFormat/>
    <w:rPr>
      <w:rFonts w:ascii="Calibri" w:hAnsi="Calibri" w:eastAsiaTheme="minorEastAsia" w:cstheme="minorBidi"/>
      <w:sz w:val="24"/>
    </w:rPr>
  </w:style>
  <w:style w:type="paragraph" w:styleId="851">
    <w:name w:val="Body Text Indent 2"/>
    <w:basedOn w:val="823"/>
    <w:link w:val="946"/>
    <w:uiPriority w:val="99"/>
    <w:qFormat/>
    <w:pPr>
      <w:ind w:left="630" w:firstLine="645"/>
    </w:pPr>
    <w:rPr>
      <w:rFonts w:ascii="Arial" w:hAnsi="Arial" w:eastAsia="仿宋_GB2312" w:cstheme="minorBidi"/>
      <w:sz w:val="32"/>
      <w:szCs w:val="32"/>
    </w:rPr>
  </w:style>
  <w:style w:type="paragraph" w:styleId="852">
    <w:name w:val="Balloon Text"/>
    <w:basedOn w:val="823"/>
    <w:link w:val="938"/>
    <w:uiPriority w:val="99"/>
    <w:qFormat/>
    <w:rPr>
      <w:rFonts w:ascii="Calibri" w:hAnsi="Calibri" w:eastAsiaTheme="minorEastAsia" w:cstheme="minorBidi"/>
      <w:sz w:val="18"/>
      <w:szCs w:val="18"/>
    </w:rPr>
  </w:style>
  <w:style w:type="paragraph" w:styleId="853">
    <w:name w:val="Footer"/>
    <w:basedOn w:val="823"/>
    <w:link w:val="880"/>
    <w:uiPriority w:val="99"/>
    <w:unhideWhenUsed/>
    <w:qFormat/>
    <w:pPr>
      <w:jc w:val="left"/>
      <w:tabs>
        <w:tab w:val="center" w:pos="4153" w:leader="none"/>
        <w:tab w:val="right" w:pos="8306" w:leader="none"/>
      </w:tabs>
    </w:pPr>
    <w:rPr>
      <w:sz w:val="18"/>
      <w:szCs w:val="18"/>
    </w:rPr>
  </w:style>
  <w:style w:type="paragraph" w:styleId="854">
    <w:name w:val="envelope return"/>
    <w:basedOn w:val="823"/>
    <w:uiPriority w:val="99"/>
    <w:qFormat/>
    <w:rPr>
      <w:sz w:val="24"/>
    </w:rPr>
  </w:style>
  <w:style w:type="paragraph" w:styleId="855">
    <w:name w:val="Header"/>
    <w:basedOn w:val="823"/>
    <w:link w:val="8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23"/>
    <w:next w:val="823"/>
    <w:uiPriority w:val="99"/>
    <w:qFormat/>
    <w:pPr>
      <w:jc w:val="left"/>
      <w:spacing w:before="120" w:after="120" w:line="400" w:lineRule="exact"/>
      <w:tabs>
        <w:tab w:val="right" w:pos="8720" w:leader="dot"/>
      </w:tabs>
    </w:pPr>
    <w:rPr>
      <w:rFonts w:ascii="宋体" w:hAnsi="宋体"/>
      <w:caps/>
      <w:sz w:val="24"/>
    </w:rPr>
  </w:style>
  <w:style w:type="paragraph" w:styleId="857">
    <w:name w:val="toc 4"/>
    <w:basedOn w:val="823"/>
    <w:next w:val="823"/>
    <w:uiPriority w:val="99"/>
    <w:qFormat/>
    <w:pPr>
      <w:ind w:left="1260"/>
    </w:pPr>
    <w:rPr>
      <w:rFonts w:ascii="Calibri" w:hAnsi="Calibri"/>
      <w:szCs w:val="22"/>
    </w:rPr>
  </w:style>
  <w:style w:type="paragraph" w:styleId="858">
    <w:name w:val="Subtitle"/>
    <w:basedOn w:val="823"/>
    <w:next w:val="823"/>
    <w:link w:val="899"/>
    <w:uiPriority w:val="99"/>
    <w:qFormat/>
    <w:pPr>
      <w:ind w:firstLine="200"/>
      <w:jc w:val="left"/>
      <w:spacing w:line="360" w:lineRule="auto"/>
      <w:outlineLvl w:val="1"/>
    </w:pPr>
    <w:rPr>
      <w:rFonts w:ascii="Cambria" w:hAnsi="Cambria"/>
      <w:b/>
      <w:bCs/>
      <w:sz w:val="24"/>
      <w:szCs w:val="32"/>
    </w:rPr>
  </w:style>
  <w:style w:type="paragraph" w:styleId="859">
    <w:name w:val="footnote text"/>
    <w:basedOn w:val="823"/>
    <w:link w:val="900"/>
    <w:uiPriority w:val="99"/>
    <w:qFormat/>
    <w:pPr>
      <w:jc w:val="left"/>
    </w:pPr>
    <w:rPr>
      <w:sz w:val="18"/>
      <w:szCs w:val="20"/>
    </w:rPr>
  </w:style>
  <w:style w:type="paragraph" w:styleId="860">
    <w:name w:val="toc 6"/>
    <w:basedOn w:val="823"/>
    <w:next w:val="823"/>
    <w:uiPriority w:val="99"/>
    <w:qFormat/>
    <w:pPr>
      <w:ind w:left="2100"/>
    </w:pPr>
    <w:rPr>
      <w:rFonts w:ascii="Calibri" w:hAnsi="Calibri"/>
      <w:szCs w:val="22"/>
    </w:rPr>
  </w:style>
  <w:style w:type="paragraph" w:styleId="861">
    <w:name w:val="Body Text Indent 3"/>
    <w:basedOn w:val="823"/>
    <w:link w:val="937"/>
    <w:uiPriority w:val="99"/>
    <w:qFormat/>
    <w:pPr>
      <w:ind w:left="645" w:firstLine="645"/>
    </w:pPr>
    <w:rPr>
      <w:rFonts w:ascii="Arial" w:hAnsi="Arial" w:eastAsia="仿宋_GB2312" w:cstheme="minorBidi"/>
      <w:color w:val="ffff00"/>
      <w:sz w:val="32"/>
      <w:szCs w:val="32"/>
    </w:rPr>
  </w:style>
  <w:style w:type="paragraph" w:styleId="862">
    <w:name w:val="toc 2"/>
    <w:basedOn w:val="823"/>
    <w:next w:val="823"/>
    <w:uiPriority w:val="99"/>
    <w:qFormat/>
    <w:pPr>
      <w:ind w:left="210"/>
      <w:jc w:val="left"/>
    </w:pPr>
    <w:rPr>
      <w:smallCaps/>
    </w:rPr>
  </w:style>
  <w:style w:type="paragraph" w:styleId="863">
    <w:name w:val="toc 9"/>
    <w:basedOn w:val="823"/>
    <w:next w:val="823"/>
    <w:uiPriority w:val="99"/>
    <w:qFormat/>
    <w:pPr>
      <w:ind w:left="3360"/>
    </w:pPr>
    <w:rPr>
      <w:rFonts w:ascii="Calibri" w:hAnsi="Calibri"/>
      <w:szCs w:val="22"/>
    </w:rPr>
  </w:style>
  <w:style w:type="paragraph" w:styleId="864">
    <w:name w:val="Body Text 2"/>
    <w:basedOn w:val="823"/>
    <w:link w:val="963"/>
    <w:uiPriority w:val="99"/>
    <w:qFormat/>
    <w:pPr>
      <w:jc w:val="center"/>
      <w:widowControl/>
    </w:pPr>
    <w:rPr>
      <w:rFonts w:ascii="楷体_GB2312" w:hAnsi="Calibri" w:eastAsia="楷体_GB2312" w:cstheme="minorBidi"/>
      <w:sz w:val="28"/>
      <w:szCs w:val="28"/>
    </w:rPr>
  </w:style>
  <w:style w:type="paragraph" w:styleId="865">
    <w:name w:val="HTML Preformatted"/>
    <w:basedOn w:val="823"/>
    <w:link w:val="903"/>
    <w:uiPriority w:val="99"/>
    <w:qFormat/>
    <w:rPr>
      <w:rFonts w:ascii="Courier New" w:hAnsi="Courier New"/>
      <w:sz w:val="20"/>
      <w:szCs w:val="20"/>
    </w:rPr>
  </w:style>
  <w:style w:type="paragraph" w:styleId="866">
    <w:name w:val="Normal (Web)"/>
    <w:basedOn w:val="823"/>
    <w:uiPriority w:val="0"/>
    <w:unhideWhenUsed/>
    <w:qFormat/>
    <w:pPr>
      <w:jc w:val="left"/>
      <w:spacing w:before="100" w:beforeAutospacing="1" w:after="100" w:afterAutospacing="1"/>
      <w:widowControl/>
    </w:pPr>
    <w:rPr>
      <w:rFonts w:ascii="宋体" w:hAnsi="宋体" w:cs="宋体"/>
      <w:sz w:val="24"/>
    </w:rPr>
  </w:style>
  <w:style w:type="paragraph" w:styleId="867">
    <w:name w:val="Title"/>
    <w:basedOn w:val="823"/>
    <w:link w:val="982"/>
    <w:uiPriority w:val="99"/>
    <w:qFormat/>
    <w:pPr>
      <w:jc w:val="center"/>
      <w:outlineLvl w:val="0"/>
    </w:pPr>
    <w:rPr>
      <w:rFonts w:ascii="Cambria" w:hAnsi="Cambria"/>
      <w:b/>
      <w:sz w:val="32"/>
      <w:szCs w:val="20"/>
    </w:rPr>
  </w:style>
  <w:style w:type="paragraph" w:styleId="868">
    <w:name w:val="annotation subject"/>
    <w:basedOn w:val="841"/>
    <w:next w:val="841"/>
    <w:link w:val="958"/>
    <w:uiPriority w:val="99"/>
    <w:qFormat/>
    <w:rPr>
      <w:rFonts w:ascii="Calibri" w:hAnsi="Calibri"/>
      <w:b/>
      <w:bCs/>
    </w:rPr>
  </w:style>
  <w:style w:type="paragraph" w:styleId="869">
    <w:name w:val="Body Text First Indent"/>
    <w:basedOn w:val="823"/>
    <w:link w:val="966"/>
    <w:uiPriority w:val="99"/>
    <w:qFormat/>
    <w:pPr>
      <w:ind w:firstLine="200"/>
      <w:spacing w:line="360" w:lineRule="auto"/>
    </w:pPr>
    <w:rPr>
      <w:rFonts w:ascii="仿宋_GB2312" w:hAnsi="Arial" w:eastAsia="仿宋_GB2312"/>
      <w:sz w:val="30"/>
      <w:szCs w:val="30"/>
    </w:rPr>
  </w:style>
  <w:style w:type="paragraph" w:styleId="870">
    <w:name w:val="Body Text First Indent 2"/>
    <w:basedOn w:val="844"/>
    <w:link w:val="942"/>
    <w:uiPriority w:val="99"/>
    <w:qFormat/>
    <w:pPr>
      <w:ind w:firstLine="420"/>
      <w:spacing w:line="360" w:lineRule="auto"/>
    </w:pPr>
    <w:rPr>
      <w:rFonts w:ascii="宋体" w:hAnsi="宋体"/>
    </w:rPr>
  </w:style>
  <w:style w:type="table" w:styleId="871">
    <w:name w:val="Table Grid"/>
    <w:basedOn w:val="834"/>
    <w:uiPriority w:val="59"/>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Strong"/>
    <w:uiPriority w:val="99"/>
    <w:qFormat/>
    <w:rPr>
      <w:rFonts w:ascii="Tahoma" w:hAnsi="Tahoma" w:eastAsia="宋体" w:cs="Times New Roman"/>
      <w:b/>
      <w:sz w:val="24"/>
      <w:lang w:val="en-US" w:eastAsia="zh-CN"/>
    </w:rPr>
  </w:style>
  <w:style w:type="character" w:styleId="873">
    <w:name w:val="page number"/>
    <w:uiPriority w:val="0"/>
    <w:qFormat/>
    <w:rPr>
      <w:rFonts w:ascii="Verdana" w:hAnsi="Verdana" w:eastAsia="宋体" w:cs="Times New Roman"/>
      <w:sz w:val="21"/>
      <w:lang w:val="en-US" w:eastAsia="en-US"/>
    </w:rPr>
  </w:style>
  <w:style w:type="character" w:styleId="874">
    <w:name w:val="FollowedHyperlink"/>
    <w:basedOn w:val="833"/>
    <w:uiPriority w:val="99"/>
    <w:unhideWhenUsed/>
    <w:qFormat/>
    <w:rPr>
      <w:color w:val="800080" w:themeColor="followedHyperlink"/>
      <w:u w:val="single"/>
      <w14:textFill>
        <w14:solidFill>
          <w14:schemeClr w14:val="folHlink"/>
        </w14:solidFill>
      </w14:textFill>
    </w:rPr>
  </w:style>
  <w:style w:type="character" w:styleId="875">
    <w:name w:val="Emphasis"/>
    <w:uiPriority w:val="99"/>
    <w:qFormat/>
    <w:rPr>
      <w:color w:val="cc0000"/>
    </w:rPr>
  </w:style>
  <w:style w:type="character" w:styleId="876">
    <w:name w:val="Hyperlink"/>
    <w:uiPriority w:val="99"/>
    <w:qFormat/>
    <w:rPr>
      <w:color w:val="336699"/>
      <w:sz w:val="18"/>
      <w:szCs w:val="18"/>
      <w:u w:val="none"/>
    </w:rPr>
  </w:style>
  <w:style w:type="character" w:styleId="877">
    <w:name w:val="annotation reference"/>
    <w:uiPriority w:val="99"/>
    <w:qFormat/>
    <w:rPr>
      <w:sz w:val="21"/>
      <w:szCs w:val="21"/>
    </w:rPr>
  </w:style>
  <w:style w:type="character" w:styleId="878">
    <w:name w:val="footnote reference"/>
    <w:uiPriority w:val="99"/>
    <w:qFormat/>
    <w:rPr>
      <w:rFonts w:ascii="Tahoma" w:hAnsi="Tahoma" w:eastAsia="宋体" w:cs="Times New Roman"/>
      <w:sz w:val="24"/>
      <w:vertAlign w:val="superscript"/>
      <w:lang w:val="en-US" w:eastAsia="zh-CN"/>
    </w:rPr>
  </w:style>
  <w:style w:type="character" w:styleId="879" w:customStyle="1">
    <w:name w:val="页眉 Char"/>
    <w:basedOn w:val="833"/>
    <w:link w:val="855"/>
    <w:uiPriority w:val="99"/>
    <w:qFormat/>
    <w:rPr>
      <w:sz w:val="18"/>
      <w:szCs w:val="18"/>
    </w:rPr>
  </w:style>
  <w:style w:type="character" w:styleId="880" w:customStyle="1">
    <w:name w:val="页脚 Char"/>
    <w:basedOn w:val="833"/>
    <w:link w:val="853"/>
    <w:uiPriority w:val="99"/>
    <w:qFormat/>
    <w:rPr>
      <w:sz w:val="18"/>
      <w:szCs w:val="18"/>
    </w:rPr>
  </w:style>
  <w:style w:type="character" w:styleId="881" w:customStyle="1">
    <w:name w:val="标题 1 Char"/>
    <w:basedOn w:val="833"/>
    <w:link w:val="824"/>
    <w:uiPriority w:val="99"/>
    <w:qFormat/>
    <w:rPr>
      <w:rFonts w:ascii="楷体_GB2312" w:hAnsi="Times New Roman" w:eastAsia="楷体_GB2312" w:cs="Times New Roman"/>
      <w:sz w:val="28"/>
      <w:szCs w:val="28"/>
    </w:rPr>
  </w:style>
  <w:style w:type="character" w:styleId="882" w:customStyle="1">
    <w:name w:val="标题 2 Char"/>
    <w:basedOn w:val="833"/>
    <w:link w:val="825"/>
    <w:uiPriority w:val="99"/>
    <w:qFormat/>
    <w:rPr>
      <w:rFonts w:asciiTheme="minorEastAsia" w:hAnsiTheme="minorEastAsia" w:cstheme="minorEastAsia"/>
      <w:b/>
      <w:sz w:val="24"/>
      <w:szCs w:val="24"/>
    </w:rPr>
  </w:style>
  <w:style w:type="character" w:styleId="883" w:customStyle="1">
    <w:name w:val="标题 3 Char"/>
    <w:basedOn w:val="833"/>
    <w:link w:val="826"/>
    <w:uiPriority w:val="9"/>
    <w:qFormat/>
    <w:rPr>
      <w:rFonts w:ascii="Times New Roman" w:hAnsi="Times New Roman" w:eastAsia="宋体" w:cs="Times New Roman"/>
      <w:sz w:val="32"/>
      <w:szCs w:val="32"/>
    </w:rPr>
  </w:style>
  <w:style w:type="character" w:styleId="884" w:customStyle="1">
    <w:name w:val="标题 4 Char"/>
    <w:basedOn w:val="833"/>
    <w:link w:val="827"/>
    <w:uiPriority w:val="99"/>
    <w:qFormat/>
    <w:rPr>
      <w:rFonts w:ascii="Arial" w:hAnsi="Arial" w:eastAsia="黑体" w:cs="Arial"/>
      <w:sz w:val="28"/>
      <w:szCs w:val="28"/>
    </w:rPr>
  </w:style>
  <w:style w:type="character" w:styleId="885" w:customStyle="1">
    <w:name w:val="标题 5 Char"/>
    <w:basedOn w:val="833"/>
    <w:link w:val="828"/>
    <w:uiPriority w:val="99"/>
    <w:qFormat/>
    <w:rPr>
      <w:rFonts w:ascii="宋体" w:hAnsi="Times New Roman" w:eastAsia="宋体" w:cs="Times New Roman"/>
      <w:color w:val="000000"/>
      <w:sz w:val="28"/>
      <w:szCs w:val="28"/>
    </w:rPr>
  </w:style>
  <w:style w:type="character" w:styleId="886" w:customStyle="1">
    <w:name w:val="标题 6 Char"/>
    <w:basedOn w:val="833"/>
    <w:link w:val="829"/>
    <w:uiPriority w:val="99"/>
    <w:qFormat/>
    <w:rPr>
      <w:rFonts w:ascii="Arial" w:hAnsi="Arial" w:eastAsia="黑体" w:cs="Times New Roman"/>
      <w:b/>
      <w:bCs/>
      <w:sz w:val="24"/>
      <w:szCs w:val="24"/>
    </w:rPr>
  </w:style>
  <w:style w:type="character" w:styleId="887" w:customStyle="1">
    <w:name w:val="标题 7 Char"/>
    <w:basedOn w:val="833"/>
    <w:link w:val="830"/>
    <w:uiPriority w:val="99"/>
    <w:qFormat/>
    <w:rPr>
      <w:rFonts w:ascii="Times New Roman" w:hAnsi="Times New Roman" w:eastAsia="宋体" w:cs="Times New Roman"/>
      <w:b/>
      <w:bCs/>
      <w:sz w:val="24"/>
      <w:szCs w:val="24"/>
    </w:rPr>
  </w:style>
  <w:style w:type="character" w:styleId="888" w:customStyle="1">
    <w:name w:val="标题 8 Char"/>
    <w:basedOn w:val="833"/>
    <w:link w:val="831"/>
    <w:uiPriority w:val="99"/>
    <w:qFormat/>
    <w:rPr>
      <w:rFonts w:ascii="Arial" w:hAnsi="Arial" w:eastAsia="黑体" w:cs="Times New Roman"/>
      <w:sz w:val="24"/>
      <w:szCs w:val="24"/>
    </w:rPr>
  </w:style>
  <w:style w:type="character" w:styleId="889" w:customStyle="1">
    <w:name w:val="标题 9 Char"/>
    <w:basedOn w:val="833"/>
    <w:link w:val="832"/>
    <w:uiPriority w:val="99"/>
    <w:qFormat/>
    <w:rPr>
      <w:rFonts w:ascii="Arial" w:hAnsi="Arial" w:eastAsia="黑体" w:cs="Times New Roman"/>
      <w:szCs w:val="21"/>
    </w:rPr>
  </w:style>
  <w:style w:type="character" w:styleId="890" w:customStyle="1">
    <w:name w:val="文档结构图 Char"/>
    <w:basedOn w:val="833"/>
    <w:uiPriority w:val="99"/>
    <w:qFormat/>
    <w:rPr>
      <w:rFonts w:ascii="宋体" w:hAnsi="Times New Roman" w:eastAsia="宋体" w:cs="Times New Roman"/>
      <w:sz w:val="18"/>
      <w:szCs w:val="18"/>
    </w:rPr>
  </w:style>
  <w:style w:type="character" w:styleId="891" w:customStyle="1">
    <w:name w:val="批注文字 Char"/>
    <w:basedOn w:val="833"/>
    <w:uiPriority w:val="0"/>
    <w:qFormat/>
    <w:rPr>
      <w:rFonts w:ascii="Times New Roman" w:hAnsi="Times New Roman" w:eastAsia="宋体" w:cs="Times New Roman"/>
      <w:szCs w:val="24"/>
    </w:rPr>
  </w:style>
  <w:style w:type="character" w:styleId="892" w:customStyle="1">
    <w:name w:val="正文文本 3 Char"/>
    <w:basedOn w:val="833"/>
    <w:uiPriority w:val="99"/>
    <w:qFormat/>
    <w:rPr>
      <w:rFonts w:ascii="Times New Roman" w:hAnsi="Times New Roman" w:eastAsia="宋体" w:cs="Times New Roman"/>
      <w:sz w:val="16"/>
      <w:szCs w:val="16"/>
    </w:rPr>
  </w:style>
  <w:style w:type="character" w:styleId="893" w:customStyle="1">
    <w:name w:val="正文文本 Char"/>
    <w:basedOn w:val="833"/>
    <w:link w:val="843"/>
    <w:uiPriority w:val="99"/>
    <w:qFormat/>
    <w:rPr>
      <w:rFonts w:ascii="Times New Roman" w:hAnsi="Times New Roman" w:eastAsia="宋体" w:cs="Times New Roman"/>
      <w:szCs w:val="24"/>
    </w:rPr>
  </w:style>
  <w:style w:type="character" w:styleId="894" w:customStyle="1">
    <w:name w:val="正文文本缩进 Char"/>
    <w:basedOn w:val="833"/>
    <w:uiPriority w:val="99"/>
    <w:qFormat/>
    <w:rPr>
      <w:rFonts w:ascii="Times New Roman" w:hAnsi="Times New Roman" w:eastAsia="宋体" w:cs="Times New Roman"/>
      <w:szCs w:val="24"/>
    </w:rPr>
  </w:style>
  <w:style w:type="character" w:styleId="895" w:customStyle="1">
    <w:name w:val="纯文本 Char"/>
    <w:basedOn w:val="833"/>
    <w:uiPriority w:val="0"/>
    <w:qFormat/>
    <w:rPr>
      <w:rFonts w:ascii="宋体" w:hAnsi="Courier New" w:eastAsia="宋体" w:cs="Courier New"/>
      <w:szCs w:val="21"/>
    </w:rPr>
  </w:style>
  <w:style w:type="character" w:styleId="896" w:customStyle="1">
    <w:name w:val="日期 Char"/>
    <w:basedOn w:val="833"/>
    <w:uiPriority w:val="99"/>
    <w:qFormat/>
    <w:rPr>
      <w:rFonts w:ascii="Times New Roman" w:hAnsi="Times New Roman" w:eastAsia="宋体" w:cs="Times New Roman"/>
      <w:szCs w:val="24"/>
    </w:rPr>
  </w:style>
  <w:style w:type="character" w:styleId="897" w:customStyle="1">
    <w:name w:val="正文文本缩进 2 Char"/>
    <w:basedOn w:val="833"/>
    <w:uiPriority w:val="99"/>
    <w:qFormat/>
    <w:rPr>
      <w:rFonts w:ascii="Times New Roman" w:hAnsi="Times New Roman" w:eastAsia="宋体" w:cs="Times New Roman"/>
      <w:szCs w:val="24"/>
    </w:rPr>
  </w:style>
  <w:style w:type="character" w:styleId="898" w:customStyle="1">
    <w:name w:val="批注框文本 Char"/>
    <w:basedOn w:val="833"/>
    <w:uiPriority w:val="99"/>
    <w:qFormat/>
    <w:rPr>
      <w:rFonts w:ascii="Times New Roman" w:hAnsi="Times New Roman" w:eastAsia="宋体" w:cs="Times New Roman"/>
      <w:sz w:val="18"/>
      <w:szCs w:val="18"/>
    </w:rPr>
  </w:style>
  <w:style w:type="character" w:styleId="899" w:customStyle="1">
    <w:name w:val="副标题 Char"/>
    <w:basedOn w:val="833"/>
    <w:link w:val="858"/>
    <w:uiPriority w:val="99"/>
    <w:qFormat/>
    <w:rPr>
      <w:rFonts w:ascii="Cambria" w:hAnsi="Cambria" w:eastAsia="宋体" w:cs="Times New Roman"/>
      <w:b/>
      <w:bCs/>
      <w:sz w:val="24"/>
      <w:szCs w:val="32"/>
    </w:rPr>
  </w:style>
  <w:style w:type="character" w:styleId="900" w:customStyle="1">
    <w:name w:val="脚注文本 Char"/>
    <w:basedOn w:val="833"/>
    <w:link w:val="859"/>
    <w:uiPriority w:val="99"/>
    <w:qFormat/>
    <w:rPr>
      <w:rFonts w:ascii="Times New Roman" w:hAnsi="Times New Roman" w:eastAsia="宋体" w:cs="Times New Roman"/>
      <w:sz w:val="18"/>
      <w:szCs w:val="20"/>
    </w:rPr>
  </w:style>
  <w:style w:type="character" w:styleId="901" w:customStyle="1">
    <w:name w:val="正文文本缩进 3 Char"/>
    <w:basedOn w:val="833"/>
    <w:uiPriority w:val="99"/>
    <w:qFormat/>
    <w:rPr>
      <w:rFonts w:ascii="Times New Roman" w:hAnsi="Times New Roman" w:eastAsia="宋体" w:cs="Times New Roman"/>
      <w:sz w:val="16"/>
      <w:szCs w:val="16"/>
    </w:rPr>
  </w:style>
  <w:style w:type="character" w:styleId="902" w:customStyle="1">
    <w:name w:val="正文文本 2 Char"/>
    <w:basedOn w:val="833"/>
    <w:uiPriority w:val="99"/>
    <w:qFormat/>
    <w:rPr>
      <w:rFonts w:ascii="Times New Roman" w:hAnsi="Times New Roman" w:eastAsia="宋体" w:cs="Times New Roman"/>
      <w:szCs w:val="24"/>
    </w:rPr>
  </w:style>
  <w:style w:type="character" w:styleId="903" w:customStyle="1">
    <w:name w:val="HTML 预设格式 Char"/>
    <w:basedOn w:val="833"/>
    <w:link w:val="865"/>
    <w:uiPriority w:val="99"/>
    <w:qFormat/>
    <w:rPr>
      <w:rFonts w:ascii="Courier New" w:hAnsi="Courier New" w:eastAsia="宋体" w:cs="Times New Roman"/>
      <w:sz w:val="20"/>
      <w:szCs w:val="20"/>
    </w:rPr>
  </w:style>
  <w:style w:type="character" w:styleId="904" w:customStyle="1">
    <w:name w:val="标题 Char"/>
    <w:basedOn w:val="833"/>
    <w:uiPriority w:val="99"/>
    <w:qFormat/>
    <w:rPr>
      <w:rFonts w:eastAsia="宋体" w:asciiTheme="majorHAnsi" w:hAnsiTheme="majorHAnsi" w:cstheme="majorBidi"/>
      <w:b/>
      <w:bCs/>
      <w:sz w:val="32"/>
      <w:szCs w:val="32"/>
    </w:rPr>
  </w:style>
  <w:style w:type="character" w:styleId="905" w:customStyle="1">
    <w:name w:val="批注主题 Char"/>
    <w:basedOn w:val="891"/>
    <w:uiPriority w:val="99"/>
    <w:qFormat/>
    <w:rPr>
      <w:rFonts w:ascii="Times New Roman" w:hAnsi="Times New Roman" w:eastAsia="宋体" w:cs="Times New Roman"/>
      <w:b/>
      <w:bCs/>
      <w:szCs w:val="24"/>
    </w:rPr>
  </w:style>
  <w:style w:type="character" w:styleId="906" w:customStyle="1">
    <w:name w:val="正文首行缩进 Char"/>
    <w:basedOn w:val="893"/>
    <w:uiPriority w:val="99"/>
    <w:qFormat/>
    <w:rPr>
      <w:rFonts w:ascii="Times New Roman" w:hAnsi="Times New Roman" w:eastAsia="宋体" w:cs="Times New Roman"/>
      <w:szCs w:val="24"/>
    </w:rPr>
  </w:style>
  <w:style w:type="character" w:styleId="907" w:customStyle="1">
    <w:name w:val="正文首行缩进 2 Char"/>
    <w:basedOn w:val="894"/>
    <w:uiPriority w:val="99"/>
    <w:qFormat/>
    <w:rPr>
      <w:rFonts w:ascii="Times New Roman" w:hAnsi="Times New Roman" w:eastAsia="宋体" w:cs="Times New Roman"/>
      <w:szCs w:val="24"/>
    </w:rPr>
  </w:style>
  <w:style w:type="character" w:styleId="908" w:customStyle="1">
    <w:name w:val="标题 5 字符"/>
    <w:uiPriority w:val="99"/>
    <w:qFormat/>
    <w:rPr>
      <w:rFonts w:ascii="宋体" w:hAnsi="Times New Roman" w:eastAsia="宋体"/>
      <w:color w:val="000000"/>
      <w:sz w:val="28"/>
    </w:rPr>
  </w:style>
  <w:style w:type="character" w:styleId="909" w:customStyle="1">
    <w:name w:val="标题 3 字符"/>
    <w:uiPriority w:val="99"/>
    <w:qFormat/>
    <w:rPr>
      <w:rFonts w:ascii="Times New Roman" w:hAnsi="Times New Roman" w:eastAsia="宋体"/>
      <w:sz w:val="32"/>
    </w:rPr>
  </w:style>
  <w:style w:type="character" w:styleId="910" w:customStyle="1">
    <w:name w:val="标题 1 字符"/>
    <w:uiPriority w:val="99"/>
    <w:qFormat/>
    <w:rPr>
      <w:rFonts w:ascii="楷体_GB2312" w:hAnsi="Times New Roman" w:eastAsia="楷体_GB2312"/>
      <w:sz w:val="28"/>
    </w:rPr>
  </w:style>
  <w:style w:type="character" w:styleId="911" w:customStyle="1">
    <w:name w:val="标题 2 字符"/>
    <w:uiPriority w:val="99"/>
    <w:qFormat/>
    <w:rPr>
      <w:rFonts w:ascii="Arial" w:hAnsi="Arial" w:eastAsia="仿宋_GB2312"/>
      <w:sz w:val="44"/>
    </w:rPr>
  </w:style>
  <w:style w:type="character" w:styleId="912" w:customStyle="1">
    <w:name w:val="H3 Char"/>
    <w:uiPriority w:val="99"/>
    <w:qFormat/>
    <w:rPr>
      <w:rFonts w:hint="eastAsia" w:ascii="宋体" w:hAnsi="宋体" w:eastAsia="宋体"/>
      <w:b/>
      <w:bCs/>
      <w:sz w:val="32"/>
      <w:szCs w:val="32"/>
      <w:lang w:val="en-US" w:eastAsia="zh-CN" w:bidi="ar-SA"/>
    </w:rPr>
  </w:style>
  <w:style w:type="character" w:styleId="913" w:customStyle="1">
    <w:name w:val="正文首行缩进 Char Char"/>
    <w:uiPriority w:val="0"/>
    <w:qFormat/>
    <w:rPr>
      <w:rFonts w:hint="eastAsia" w:ascii="仿宋_GB2312" w:hAnsi="Arial" w:eastAsia="仿宋_GB2312"/>
      <w:sz w:val="30"/>
      <w:szCs w:val="30"/>
    </w:rPr>
  </w:style>
  <w:style w:type="character" w:styleId="914" w:customStyle="1">
    <w:name w:val="页眉 Char Char"/>
    <w:uiPriority w:val="0"/>
    <w:qFormat/>
    <w:rPr>
      <w:sz w:val="18"/>
      <w:szCs w:val="18"/>
    </w:rPr>
  </w:style>
  <w:style w:type="character" w:styleId="915" w:customStyle="1">
    <w:name w:val="H2 Char"/>
    <w:uiPriority w:val="99"/>
    <w:qFormat/>
    <w:rPr>
      <w:rFonts w:hint="default" w:ascii="Arial" w:hAnsi="Arial" w:eastAsia="仿宋_GB2312" w:cs="Arial"/>
      <w:b/>
      <w:bCs/>
      <w:sz w:val="28"/>
      <w:szCs w:val="44"/>
      <w:lang w:val="en-US" w:eastAsia="zh-CN" w:bidi="ar-SA"/>
    </w:rPr>
  </w:style>
  <w:style w:type="character" w:styleId="916" w:customStyle="1">
    <w:name w:val="正文缩进 Char Char"/>
    <w:link w:val="917"/>
    <w:uiPriority w:val="0"/>
    <w:qFormat/>
    <w:rPr>
      <w:rFonts w:ascii="楷体_GB2312" w:eastAsia="楷体_GB2312"/>
      <w:sz w:val="24"/>
    </w:rPr>
  </w:style>
  <w:style w:type="paragraph" w:styleId="917" w:customStyle="1">
    <w:name w:val="正文缩进1"/>
    <w:basedOn w:val="823"/>
    <w:link w:val="916"/>
    <w:uiPriority w:val="0"/>
    <w:qFormat/>
    <w:pPr>
      <w:ind w:firstLine="420"/>
      <w:jc w:val="left"/>
    </w:pPr>
    <w:rPr>
      <w:rFonts w:ascii="楷体_GB2312" w:eastAsia="楷体_GB2312" w:hAnsiTheme="minorHAnsi" w:cstheme="minorBidi"/>
      <w:sz w:val="24"/>
      <w:szCs w:val="22"/>
    </w:rPr>
  </w:style>
  <w:style w:type="character" w:styleId="918" w:customStyle="1">
    <w:name w:val="批注主题 Char Char"/>
    <w:uiPriority w:val="0"/>
    <w:qFormat/>
    <w:rPr>
      <w:rFonts w:hint="eastAsia" w:ascii="宋体" w:hAnsi="宋体" w:eastAsia="宋体"/>
      <w:b/>
      <w:bCs/>
      <w:szCs w:val="24"/>
    </w:rPr>
  </w:style>
  <w:style w:type="character" w:styleId="919" w:customStyle="1">
    <w:name w:val="日期 Char Char"/>
    <w:uiPriority w:val="0"/>
    <w:qFormat/>
    <w:rPr>
      <w:sz w:val="24"/>
      <w:szCs w:val="24"/>
    </w:rPr>
  </w:style>
  <w:style w:type="character" w:styleId="920" w:customStyle="1">
    <w:name w:val="正文文本缩进 Char Char"/>
    <w:uiPriority w:val="0"/>
    <w:qFormat/>
    <w:rPr>
      <w:rFonts w:hint="eastAsia" w:ascii="楷体_GB2312" w:eastAsia="楷体_GB2312"/>
      <w:sz w:val="32"/>
      <w:szCs w:val="32"/>
    </w:rPr>
  </w:style>
  <w:style w:type="character" w:styleId="921" w:customStyle="1">
    <w:name w:val="批注框文本 Char Char"/>
    <w:uiPriority w:val="0"/>
    <w:qFormat/>
    <w:rPr>
      <w:sz w:val="18"/>
      <w:szCs w:val="18"/>
    </w:rPr>
  </w:style>
  <w:style w:type="character" w:styleId="922" w:customStyle="1">
    <w:name w:val="md"/>
    <w:basedOn w:val="833"/>
    <w:uiPriority w:val="99"/>
    <w:qFormat/>
  </w:style>
  <w:style w:type="character" w:styleId="923" w:customStyle="1">
    <w:name w:val="正文文本 3 Char Char"/>
    <w:uiPriority w:val="0"/>
    <w:qFormat/>
    <w:rPr>
      <w:rFonts w:hint="eastAsia" w:ascii="仿宋_GB2312" w:hAnsi="Arial" w:eastAsia="仿宋_GB2312"/>
      <w:sz w:val="32"/>
      <w:szCs w:val="32"/>
    </w:rPr>
  </w:style>
  <w:style w:type="character" w:styleId="924" w:customStyle="1">
    <w:name w:val="正文文本 Char Char"/>
    <w:uiPriority w:val="0"/>
    <w:qFormat/>
    <w:rPr>
      <w:rFonts w:hint="eastAsia" w:ascii="宋体" w:hAnsi="宋体" w:eastAsia="宋体"/>
      <w:szCs w:val="24"/>
    </w:rPr>
  </w:style>
  <w:style w:type="character" w:styleId="925" w:customStyle="1">
    <w:name w:val="H4 Char"/>
    <w:uiPriority w:val="99"/>
    <w:qFormat/>
    <w:rPr>
      <w:rFonts w:hint="default" w:ascii="Arial" w:hAnsi="Arial" w:eastAsia="黑体" w:cs="Arial"/>
      <w:b/>
      <w:bCs/>
      <w:sz w:val="28"/>
      <w:szCs w:val="28"/>
      <w:lang w:val="en-US" w:eastAsia="zh-CN" w:bidi="ar-SA"/>
    </w:rPr>
  </w:style>
  <w:style w:type="character" w:styleId="926" w:customStyle="1">
    <w:name w:val="正文文本缩进 3 Char Char"/>
    <w:uiPriority w:val="0"/>
    <w:qFormat/>
    <w:rPr>
      <w:rFonts w:hint="default" w:ascii="Arial" w:hAnsi="Arial" w:eastAsia="仿宋_GB2312" w:cs="Arial"/>
      <w:color w:val="ffff00"/>
      <w:sz w:val="32"/>
      <w:szCs w:val="32"/>
    </w:rPr>
  </w:style>
  <w:style w:type="character" w:styleId="927" w:customStyle="1">
    <w:name w:val="正文首行缩进 2 Char Char"/>
    <w:uiPriority w:val="0"/>
    <w:qFormat/>
    <w:rPr>
      <w:rFonts w:hint="eastAsia" w:ascii="宋体" w:hAnsi="宋体" w:eastAsia="楷体_GB2312"/>
      <w:szCs w:val="32"/>
    </w:rPr>
  </w:style>
  <w:style w:type="character" w:styleId="928" w:customStyle="1">
    <w:name w:val="纯文本 Char Char"/>
    <w:uiPriority w:val="0"/>
    <w:qFormat/>
    <w:rPr>
      <w:rFonts w:hint="eastAsia" w:ascii="宋体" w:hAnsi="Courier New" w:eastAsia="宋体"/>
    </w:rPr>
  </w:style>
  <w:style w:type="character" w:styleId="929" w:customStyle="1">
    <w:name w:val="正文文本 2 Char Char"/>
    <w:uiPriority w:val="0"/>
    <w:qFormat/>
    <w:rPr>
      <w:rFonts w:hint="eastAsia" w:ascii="楷体_GB2312" w:eastAsia="楷体_GB2312"/>
      <w:sz w:val="28"/>
      <w:szCs w:val="28"/>
    </w:rPr>
  </w:style>
  <w:style w:type="character" w:styleId="930" w:customStyle="1">
    <w:name w:val="页脚 Char Char"/>
    <w:uiPriority w:val="0"/>
    <w:qFormat/>
    <w:rPr>
      <w:sz w:val="18"/>
      <w:szCs w:val="18"/>
    </w:rPr>
  </w:style>
  <w:style w:type="character" w:styleId="931" w:customStyle="1">
    <w:name w:val="样式 样式 正文缩进四号ALT+Z段1 Char Char Char段1 Char Char标题4body text鋘d... ...1 Char Char"/>
    <w:link w:val="932"/>
    <w:uiPriority w:val="0"/>
    <w:qFormat/>
    <w:rPr>
      <w:rFonts w:ascii="宋体" w:hAnsi="宋体"/>
      <w:color w:val="000000"/>
      <w:szCs w:val="21"/>
    </w:rPr>
  </w:style>
  <w:style w:type="paragraph" w:styleId="932" w:customStyle="1">
    <w:name w:val="样式 样式 正文缩进四号ALT+Z段1 Char Char Char段1 Char Char标题4body text鋘d... ...1"/>
    <w:basedOn w:val="823"/>
    <w:link w:val="931"/>
    <w:uiPriority w:val="0"/>
    <w:qFormat/>
    <w:pPr>
      <w:ind w:firstLine="420"/>
    </w:pPr>
    <w:rPr>
      <w:rFonts w:ascii="宋体" w:hAnsi="宋体" w:eastAsiaTheme="minorEastAsia" w:cstheme="minorBidi"/>
      <w:color w:val="000000"/>
      <w:szCs w:val="21"/>
    </w:rPr>
  </w:style>
  <w:style w:type="character" w:styleId="933" w:customStyle="1">
    <w:name w:val="正文文本缩进 2 Char Char"/>
    <w:uiPriority w:val="0"/>
    <w:qFormat/>
    <w:rPr>
      <w:rFonts w:hint="default" w:ascii="Arial" w:hAnsi="Arial" w:eastAsia="仿宋_GB2312" w:cs="Arial"/>
      <w:sz w:val="32"/>
      <w:szCs w:val="32"/>
    </w:rPr>
  </w:style>
  <w:style w:type="paragraph" w:styleId="934" w:customStyle="1">
    <w:name w:val="正文1"/>
    <w:uiPriority w:val="0"/>
    <w:qFormat/>
    <w:rPr>
      <w:rFonts w:ascii="Times New Roman" w:hAnsi="Times New Roman" w:eastAsia="Times New Roman" w:cs="Times New Roman"/>
      <w:sz w:val="24"/>
      <w:szCs w:val="24"/>
      <w:lang w:val="en-US" w:eastAsia="zh-CN" w:bidi="ar-SA"/>
    </w:rPr>
  </w:style>
  <w:style w:type="character" w:styleId="935" w:customStyle="1">
    <w:name w:val="正文文本缩进 Char1"/>
    <w:basedOn w:val="833"/>
    <w:link w:val="844"/>
    <w:uiPriority w:val="99"/>
    <w:qFormat/>
    <w:rPr>
      <w:rFonts w:ascii="楷体_GB2312" w:hAnsi="Calibri" w:eastAsia="楷体_GB2312"/>
      <w:sz w:val="32"/>
      <w:szCs w:val="32"/>
    </w:rPr>
  </w:style>
  <w:style w:type="character" w:styleId="936" w:customStyle="1">
    <w:name w:val="日期 Char1"/>
    <w:basedOn w:val="833"/>
    <w:link w:val="850"/>
    <w:uiPriority w:val="99"/>
    <w:qFormat/>
    <w:rPr>
      <w:rFonts w:ascii="Calibri" w:hAnsi="Calibri"/>
      <w:sz w:val="24"/>
      <w:szCs w:val="24"/>
    </w:rPr>
  </w:style>
  <w:style w:type="character" w:styleId="937" w:customStyle="1">
    <w:name w:val="正文文本缩进 3 Char1"/>
    <w:basedOn w:val="833"/>
    <w:link w:val="861"/>
    <w:uiPriority w:val="99"/>
    <w:qFormat/>
    <w:rPr>
      <w:rFonts w:ascii="Arial" w:hAnsi="Arial" w:eastAsia="仿宋_GB2312"/>
      <w:color w:val="ffff00"/>
      <w:sz w:val="32"/>
      <w:szCs w:val="32"/>
    </w:rPr>
  </w:style>
  <w:style w:type="character" w:styleId="938" w:customStyle="1">
    <w:name w:val="批注框文本 Char1"/>
    <w:basedOn w:val="833"/>
    <w:link w:val="852"/>
    <w:uiPriority w:val="99"/>
    <w:qFormat/>
    <w:rPr>
      <w:rFonts w:ascii="Calibri" w:hAnsi="Calibri"/>
      <w:sz w:val="18"/>
      <w:szCs w:val="18"/>
    </w:rPr>
  </w:style>
  <w:style w:type="paragraph" w:styleId="939" w:customStyle="1">
    <w:name w:val="字母编号列项（一级）"/>
    <w:uiPriority w:val="0"/>
    <w:qFormat/>
    <w:pPr>
      <w:ind w:left="840" w:hanging="420"/>
      <w:jc w:val="both"/>
    </w:pPr>
    <w:rPr>
      <w:rFonts w:ascii="宋体" w:hAnsi="Times New Roman" w:eastAsia="宋体" w:cs="Times New Roman"/>
      <w:sz w:val="21"/>
      <w:szCs w:val="20"/>
      <w:lang w:val="en-US" w:eastAsia="zh-CN" w:bidi="ar-SA"/>
    </w:rPr>
  </w:style>
  <w:style w:type="paragraph" w:styleId="940" w:customStyle="1">
    <w:name w:val="1册标题2"/>
    <w:basedOn w:val="823"/>
    <w:next w:val="823"/>
    <w:uiPriority w:val="0"/>
    <w:qFormat/>
    <w:pPr>
      <w:jc w:val="center"/>
      <w:spacing w:line="300" w:lineRule="auto"/>
      <w:outlineLvl w:val="1"/>
    </w:pPr>
    <w:rPr>
      <w:rFonts w:ascii="Arial" w:hAnsi="Arial" w:eastAsia="黑体"/>
      <w:bCs/>
      <w:sz w:val="32"/>
    </w:rPr>
  </w:style>
  <w:style w:type="paragraph" w:styleId="941" w:customStyle="1">
    <w:name w:val="段"/>
    <w:uiPriority w:val="99"/>
    <w:qFormat/>
    <w:pPr>
      <w:ind w:firstLine="200"/>
      <w:jc w:val="both"/>
    </w:pPr>
    <w:rPr>
      <w:rFonts w:ascii="宋体" w:hAnsi="Times New Roman" w:eastAsia="宋体" w:cs="Times New Roman"/>
      <w:sz w:val="21"/>
      <w:szCs w:val="20"/>
      <w:lang w:val="en-US" w:eastAsia="zh-CN" w:bidi="ar-SA"/>
    </w:rPr>
  </w:style>
  <w:style w:type="character" w:styleId="942" w:customStyle="1">
    <w:name w:val="正文首行缩进 2 Char1"/>
    <w:basedOn w:val="935"/>
    <w:link w:val="870"/>
    <w:uiPriority w:val="99"/>
    <w:qFormat/>
    <w:rPr>
      <w:rFonts w:ascii="宋体" w:hAnsi="宋体" w:eastAsia="楷体_GB2312"/>
      <w:sz w:val="32"/>
      <w:szCs w:val="32"/>
    </w:rPr>
  </w:style>
  <w:style w:type="paragraph" w:styleId="943" w:customStyle="1">
    <w:name w:val="格式2"/>
    <w:basedOn w:val="823"/>
    <w:uiPriority w:val="0"/>
    <w:qFormat/>
    <w:rPr>
      <w:rFonts w:ascii="黑体" w:hAnsi="宋体" w:eastAsia="黑体"/>
      <w:b/>
      <w:bCs/>
      <w:color w:val="000000"/>
      <w:sz w:val="28"/>
      <w:szCs w:val="20"/>
    </w:rPr>
  </w:style>
  <w:style w:type="paragraph" w:styleId="944" w:customStyle="1">
    <w:name w:val="标题1"/>
    <w:basedOn w:val="823"/>
    <w:next w:val="823"/>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5" w:customStyle="1">
    <w:name w:val="reader-word-layer reader-word-s1-5"/>
    <w:basedOn w:val="823"/>
    <w:uiPriority w:val="99"/>
    <w:qFormat/>
    <w:pPr>
      <w:jc w:val="left"/>
      <w:spacing w:before="100" w:beforeAutospacing="1" w:after="100" w:afterAutospacing="1"/>
      <w:widowControl/>
    </w:pPr>
    <w:rPr>
      <w:rFonts w:ascii="宋体" w:hAnsi="宋体" w:cs="宋体"/>
      <w:sz w:val="24"/>
    </w:rPr>
  </w:style>
  <w:style w:type="character" w:styleId="946" w:customStyle="1">
    <w:name w:val="正文文本缩进 2 Char1"/>
    <w:basedOn w:val="833"/>
    <w:link w:val="851"/>
    <w:uiPriority w:val="99"/>
    <w:qFormat/>
    <w:rPr>
      <w:rFonts w:ascii="Arial" w:hAnsi="Arial" w:eastAsia="仿宋_GB2312"/>
      <w:sz w:val="32"/>
      <w:szCs w:val="32"/>
    </w:rPr>
  </w:style>
  <w:style w:type="paragraph" w:styleId="947" w:customStyle="1">
    <w:name w:val="reader-word-layer reader-word-s1-7"/>
    <w:basedOn w:val="823"/>
    <w:uiPriority w:val="99"/>
    <w:qFormat/>
    <w:pPr>
      <w:jc w:val="left"/>
      <w:spacing w:before="100" w:beforeAutospacing="1" w:after="100" w:afterAutospacing="1"/>
      <w:widowControl/>
    </w:pPr>
    <w:rPr>
      <w:rFonts w:ascii="宋体" w:hAnsi="宋体" w:cs="宋体"/>
      <w:sz w:val="24"/>
    </w:rPr>
  </w:style>
  <w:style w:type="character" w:styleId="948" w:customStyle="1">
    <w:name w:val="页脚 Char1"/>
    <w:basedOn w:val="833"/>
    <w:uiPriority w:val="99"/>
    <w:semiHidden/>
    <w:qFormat/>
    <w:rPr>
      <w:sz w:val="18"/>
      <w:szCs w:val="18"/>
    </w:rPr>
  </w:style>
  <w:style w:type="character" w:styleId="949" w:customStyle="1">
    <w:name w:val="纯文本 Char1"/>
    <w:basedOn w:val="833"/>
    <w:link w:val="848"/>
    <w:uiPriority w:val="99"/>
    <w:qFormat/>
    <w:rPr>
      <w:rFonts w:ascii="宋体" w:hAnsi="Courier New"/>
    </w:rPr>
  </w:style>
  <w:style w:type="character" w:styleId="950" w:customStyle="1">
    <w:name w:val="正文文本 3 Char1"/>
    <w:basedOn w:val="833"/>
    <w:link w:val="842"/>
    <w:uiPriority w:val="99"/>
    <w:qFormat/>
    <w:rPr>
      <w:rFonts w:ascii="仿宋_GB2312" w:hAnsi="Arial" w:eastAsia="仿宋_GB2312"/>
      <w:sz w:val="32"/>
      <w:szCs w:val="32"/>
    </w:rPr>
  </w:style>
  <w:style w:type="paragraph" w:styleId="951">
    <w:name w:val="List Paragraph"/>
    <w:basedOn w:val="823"/>
    <w:uiPriority w:val="34"/>
    <w:qFormat/>
    <w:pPr>
      <w:ind w:firstLine="420"/>
    </w:pPr>
  </w:style>
  <w:style w:type="character" w:styleId="952" w:customStyle="1">
    <w:name w:val="文档结构图 Char1"/>
    <w:basedOn w:val="833"/>
    <w:link w:val="840"/>
    <w:uiPriority w:val="99"/>
    <w:qFormat/>
    <w:rPr>
      <w:rFonts w:ascii="Calibri" w:hAnsi="Calibri"/>
      <w:szCs w:val="24"/>
      <w:shd w:val="clear" w:color="auto" w:fill="000080"/>
    </w:rPr>
  </w:style>
  <w:style w:type="paragraph" w:styleId="953" w:customStyle="1">
    <w:name w:val="WPS Plain"/>
    <w:uiPriority w:val="0"/>
    <w:qFormat/>
    <w:rPr>
      <w:rFonts w:ascii="Times New Roman" w:hAnsi="Times New Roman" w:eastAsia="宋体" w:cs="Times New Roman"/>
      <w:sz w:val="20"/>
      <w:szCs w:val="20"/>
      <w:lang w:val="en-US" w:eastAsia="zh-CN" w:bidi="ar-SA"/>
    </w:rPr>
  </w:style>
  <w:style w:type="character" w:styleId="954" w:customStyle="1">
    <w:name w:val="页眉 Char1"/>
    <w:basedOn w:val="833"/>
    <w:uiPriority w:val="99"/>
    <w:semiHidden/>
    <w:qFormat/>
    <w:rPr>
      <w:sz w:val="18"/>
      <w:szCs w:val="18"/>
    </w:rPr>
  </w:style>
  <w:style w:type="paragraph" w:styleId="955" w:customStyle="1">
    <w:name w:val="reader-word-layer reader-word-s1-6"/>
    <w:basedOn w:val="823"/>
    <w:uiPriority w:val="99"/>
    <w:qFormat/>
    <w:pPr>
      <w:jc w:val="left"/>
      <w:spacing w:before="100" w:beforeAutospacing="1" w:after="100" w:afterAutospacing="1"/>
      <w:widowControl/>
    </w:pPr>
    <w:rPr>
      <w:rFonts w:ascii="宋体" w:hAnsi="宋体" w:cs="宋体"/>
      <w:sz w:val="24"/>
    </w:rPr>
  </w:style>
  <w:style w:type="paragraph" w:styleId="956" w:customStyle="1">
    <w:name w:val="样式"/>
    <w:uiPriority w:val="99"/>
    <w:qFormat/>
    <w:pPr>
      <w:widowControl w:val="off"/>
    </w:pPr>
    <w:rPr>
      <w:rFonts w:ascii="宋体" w:hAnsi="Times New Roman" w:eastAsia="宋体" w:cs="宋体"/>
      <w:sz w:val="24"/>
      <w:szCs w:val="24"/>
      <w:lang w:val="en-US" w:eastAsia="zh-CN" w:bidi="ar-SA"/>
    </w:rPr>
  </w:style>
  <w:style w:type="character" w:styleId="957" w:customStyle="1">
    <w:name w:val="批注文字 Char1"/>
    <w:basedOn w:val="833"/>
    <w:link w:val="841"/>
    <w:uiPriority w:val="0"/>
    <w:qFormat/>
    <w:rPr>
      <w:rFonts w:ascii="Times New Roman" w:hAnsi="Times New Roman" w:eastAsia="宋体" w:cs="Times New Roman"/>
      <w:szCs w:val="24"/>
    </w:rPr>
  </w:style>
  <w:style w:type="character" w:styleId="958" w:customStyle="1">
    <w:name w:val="批注主题 Char1"/>
    <w:basedOn w:val="957"/>
    <w:link w:val="868"/>
    <w:uiPriority w:val="99"/>
    <w:qFormat/>
    <w:rPr>
      <w:rFonts w:ascii="Calibri" w:hAnsi="Calibri" w:eastAsia="宋体" w:cs="Times New Roman"/>
      <w:b/>
      <w:bCs/>
      <w:szCs w:val="24"/>
    </w:rPr>
  </w:style>
  <w:style w:type="paragraph" w:styleId="959" w:customStyle="1">
    <w:name w:val="reader-word-layer reader-word-s1-9"/>
    <w:basedOn w:val="823"/>
    <w:uiPriority w:val="99"/>
    <w:qFormat/>
    <w:pPr>
      <w:jc w:val="left"/>
      <w:spacing w:before="100" w:beforeAutospacing="1" w:after="100" w:afterAutospacing="1"/>
      <w:widowControl/>
    </w:pPr>
    <w:rPr>
      <w:rFonts w:ascii="宋体" w:hAnsi="宋体" w:cs="宋体"/>
      <w:sz w:val="24"/>
    </w:rPr>
  </w:style>
  <w:style w:type="paragraph" w:styleId="960" w:customStyle="1">
    <w:name w:val="*正文"/>
    <w:basedOn w:val="823"/>
    <w:uiPriority w:val="0"/>
    <w:qFormat/>
    <w:pPr>
      <w:ind w:firstLine="480"/>
      <w:spacing w:line="360" w:lineRule="auto"/>
    </w:pPr>
    <w:rPr>
      <w:rFonts w:cs="仿宋_GB2312"/>
      <w:sz w:val="24"/>
    </w:rPr>
  </w:style>
  <w:style w:type="paragraph" w:styleId="961" w:customStyle="1">
    <w:name w:val="xl25"/>
    <w:basedOn w:val="823"/>
    <w:uiPriority w:val="99"/>
    <w:qFormat/>
    <w:pPr>
      <w:jc w:val="center"/>
      <w:spacing w:before="100" w:beforeAutospacing="1" w:after="100" w:afterAutospacing="1"/>
      <w:widowControl/>
    </w:pPr>
    <w:rPr>
      <w:rFonts w:ascii="Arial Unicode MS" w:hAnsi="Arial Unicode MS" w:eastAsia="Arial Unicode MS" w:cs="Arial Unicode MS"/>
      <w:sz w:val="24"/>
    </w:rPr>
  </w:style>
  <w:style w:type="paragraph" w:styleId="962" w:customStyle="1">
    <w:name w:val="普通正文"/>
    <w:basedOn w:val="823"/>
    <w:uiPriority w:val="99"/>
    <w:qFormat/>
    <w:pPr>
      <w:ind w:firstLine="480"/>
      <w:jc w:val="left"/>
      <w:spacing w:before="120" w:after="120" w:line="360" w:lineRule="auto"/>
    </w:pPr>
    <w:rPr>
      <w:rFonts w:ascii="Arial" w:hAnsi="Arial"/>
      <w:sz w:val="24"/>
    </w:rPr>
  </w:style>
  <w:style w:type="character" w:styleId="963" w:customStyle="1">
    <w:name w:val="正文文本 2 Char1"/>
    <w:basedOn w:val="833"/>
    <w:link w:val="864"/>
    <w:uiPriority w:val="99"/>
    <w:qFormat/>
    <w:rPr>
      <w:rFonts w:ascii="楷体_GB2312" w:hAnsi="Calibri" w:eastAsia="楷体_GB2312"/>
      <w:sz w:val="28"/>
      <w:szCs w:val="28"/>
    </w:rPr>
  </w:style>
  <w:style w:type="paragraph" w:styleId="964" w:customStyle="1">
    <w:name w:val="Default"/>
    <w:link w:val="974"/>
    <w:uiPriority w:val="99"/>
    <w:qFormat/>
    <w:pPr>
      <w:widowControl w:val="off"/>
    </w:pPr>
    <w:rPr>
      <w:rFonts w:ascii="仿宋" w:hAnsi="Times New Roman" w:eastAsia="仿宋" w:cs="仿宋"/>
      <w:color w:val="000000"/>
      <w:sz w:val="24"/>
      <w:szCs w:val="24"/>
      <w:lang w:val="en-US" w:eastAsia="zh-CN" w:bidi="ar-SA"/>
    </w:rPr>
  </w:style>
  <w:style w:type="paragraph" w:styleId="965" w:customStyle="1">
    <w:name w:val="列出段落1"/>
    <w:basedOn w:val="823"/>
    <w:uiPriority w:val="99"/>
    <w:qFormat/>
    <w:pPr>
      <w:ind w:firstLine="420"/>
    </w:pPr>
    <w:rPr>
      <w:rFonts w:ascii="Calibri" w:hAnsi="Calibri"/>
      <w:szCs w:val="22"/>
    </w:rPr>
  </w:style>
  <w:style w:type="character" w:styleId="966" w:customStyle="1">
    <w:name w:val="正文首行缩进 Char1"/>
    <w:basedOn w:val="893"/>
    <w:link w:val="869"/>
    <w:uiPriority w:val="99"/>
    <w:qFormat/>
    <w:rPr>
      <w:rFonts w:ascii="仿宋_GB2312" w:hAnsi="Arial" w:eastAsia="仿宋_GB2312" w:cs="Times New Roman"/>
      <w:sz w:val="30"/>
      <w:szCs w:val="30"/>
    </w:rPr>
  </w:style>
  <w:style w:type="paragraph" w:styleId="967" w:customStyle="1">
    <w:name w:val="列出段落2"/>
    <w:basedOn w:val="823"/>
    <w:uiPriority w:val="0"/>
    <w:qFormat/>
    <w:pPr>
      <w:ind w:firstLine="420"/>
    </w:pPr>
    <w:rPr>
      <w:rFonts w:ascii="Calibri" w:hAnsi="Calibri"/>
      <w:szCs w:val="22"/>
    </w:rPr>
  </w:style>
  <w:style w:type="paragraph" w:styleId="968" w:customStyle="1">
    <w:name w:val="正文2"/>
    <w:basedOn w:val="823"/>
    <w:uiPriority w:val="0"/>
    <w:qFormat/>
    <w:pPr>
      <w:ind w:firstLine="510"/>
      <w:spacing w:before="156" w:line="360" w:lineRule="auto"/>
    </w:pPr>
    <w:rPr>
      <w:sz w:val="24"/>
      <w:szCs w:val="20"/>
    </w:rPr>
  </w:style>
  <w:style w:type="paragraph" w:styleId="969" w:customStyle="1">
    <w:name w:val="Char"/>
    <w:basedOn w:val="840"/>
    <w:uiPriority w:val="0"/>
    <w:qFormat/>
    <w:pPr>
      <w:spacing w:line="360" w:lineRule="auto"/>
    </w:pPr>
    <w:rPr>
      <w:rFonts w:ascii="Times New Roman" w:hAnsi="Times New Roman"/>
    </w:rPr>
  </w:style>
  <w:style w:type="paragraph" w:styleId="970" w:customStyle="1">
    <w:name w:val="二级条标题"/>
    <w:basedOn w:val="823"/>
    <w:next w:val="941"/>
    <w:uiPriority w:val="99"/>
    <w:qFormat/>
    <w:pPr>
      <w:numPr>
        <w:ilvl w:val="0"/>
        <w:numId w:val="2"/>
      </w:numPr>
      <w:ind w:left="0" w:firstLine="0"/>
      <w:jc w:val="left"/>
      <w:spacing w:line="360" w:lineRule="auto"/>
      <w:widowControl/>
      <w:outlineLvl w:val="3"/>
    </w:pPr>
    <w:rPr>
      <w:rFonts w:ascii="宋体" w:hAnsi="宋体"/>
      <w:sz w:val="32"/>
      <w:szCs w:val="32"/>
    </w:rPr>
  </w:style>
  <w:style w:type="paragraph" w:styleId="971" w:customStyle="1">
    <w:name w:val="表中文字"/>
    <w:basedOn w:val="823"/>
    <w:uiPriority w:val="0"/>
    <w:qFormat/>
    <w:pPr>
      <w:jc w:val="center"/>
      <w:spacing w:line="280" w:lineRule="exact"/>
      <w:widowControl/>
    </w:pPr>
    <w:rPr>
      <w:rFonts w:hint="eastAsia" w:eastAsia="Times New Roman"/>
      <w:color w:val="000000"/>
      <w:szCs w:val="20"/>
      <w:lang w:eastAsia="zh-TW"/>
    </w:rPr>
  </w:style>
  <w:style w:type="character" w:styleId="972" w:customStyle="1">
    <w:name w:val="样式 样式 正文缩进四号ALT+Z段1 Char Char Char段1 Char Char标题4body text鋘d... ...1 Char"/>
    <w:uiPriority w:val="99"/>
    <w:qFormat/>
    <w:rPr>
      <w:rFonts w:ascii="宋体" w:hAnsi="宋体" w:eastAsia="宋体"/>
      <w:color w:val="000000"/>
      <w:szCs w:val="21"/>
    </w:rPr>
  </w:style>
  <w:style w:type="paragraph" w:styleId="973" w:customStyle="1">
    <w:name w:val="Table Paragraph"/>
    <w:basedOn w:val="823"/>
    <w:uiPriority w:val="1"/>
    <w:qFormat/>
    <w:pPr>
      <w:jc w:val="left"/>
    </w:pPr>
    <w:rPr>
      <w:rFonts w:asciiTheme="minorHAnsi" w:hAnsiTheme="minorHAnsi" w:eastAsiaTheme="minorEastAsia" w:cstheme="minorBidi"/>
      <w:sz w:val="22"/>
      <w:szCs w:val="22"/>
      <w:lang w:eastAsia="en-US"/>
    </w:rPr>
  </w:style>
  <w:style w:type="character" w:styleId="974" w:customStyle="1">
    <w:name w:val="Default Char"/>
    <w:link w:val="964"/>
    <w:uiPriority w:val="99"/>
    <w:qFormat/>
    <w:rPr>
      <w:rFonts w:ascii="仿宋" w:hAnsi="Times New Roman" w:eastAsia="仿宋" w:cs="仿宋"/>
      <w:color w:val="000000"/>
      <w:sz w:val="24"/>
      <w:szCs w:val="24"/>
    </w:rPr>
  </w:style>
  <w:style w:type="paragraph" w:styleId="975" w:customStyle="1">
    <w:name w:val="Body text|1"/>
    <w:basedOn w:val="823"/>
    <w:uiPriority w:val="0"/>
    <w:qFormat/>
    <w:rPr>
      <w:rFonts w:ascii="宋体" w:hAnsi="宋体" w:cs="宋体"/>
      <w:sz w:val="20"/>
      <w:szCs w:val="20"/>
      <w:lang w:val="zh-TW" w:eastAsia="zh-TW" w:bidi="zh-TW"/>
    </w:rPr>
  </w:style>
  <w:style w:type="paragraph" w:styleId="976" w:customStyle="1">
    <w:name w:val="Normal_0_0"/>
    <w:uiPriority w:val="0"/>
    <w:qFormat/>
    <w:rPr>
      <w:rFonts w:ascii="Times New Roman" w:hAnsi="Times New Roman" w:eastAsia="Times New Roman" w:cs="Times New Roman"/>
      <w:sz w:val="24"/>
      <w:szCs w:val="24"/>
      <w:lang w:val="en-US" w:eastAsia="zh-CN" w:bidi="ar-SA"/>
    </w:rPr>
  </w:style>
  <w:style w:type="paragraph" w:styleId="977" w:customStyle="1">
    <w:name w:val="Normal_2"/>
    <w:uiPriority w:val="0"/>
    <w:qFormat/>
    <w:pPr>
      <w:jc w:val="both"/>
      <w:widowControl w:val="off"/>
    </w:pPr>
    <w:rPr>
      <w:rFonts w:ascii="Times New Roman" w:hAnsi="Times New Roman" w:eastAsia="宋体" w:cs="Times New Roman"/>
      <w:sz w:val="20"/>
      <w:szCs w:val="20"/>
      <w:lang w:val="en-US" w:eastAsia="zh-CN" w:bidi="ar-SA"/>
    </w:rPr>
  </w:style>
  <w:style w:type="character" w:styleId="978" w:customStyle="1">
    <w:name w:val="纯文本 Char3"/>
    <w:uiPriority w:val="99"/>
    <w:qFormat/>
    <w:rPr>
      <w:rFonts w:ascii="宋体" w:hAnsi="Courier New" w:eastAsia="宋体" w:cs="Times New Roman"/>
      <w:sz w:val="20"/>
      <w:szCs w:val="20"/>
    </w:rPr>
  </w:style>
  <w:style w:type="character" w:styleId="979" w:customStyle="1">
    <w:name w:val="批注文字 Char2"/>
    <w:uiPriority w:val="99"/>
    <w:qFormat/>
    <w:rPr>
      <w:rFonts w:cs="Times New Roman"/>
      <w:sz w:val="24"/>
    </w:rPr>
  </w:style>
  <w:style w:type="character" w:styleId="980" w:customStyle="1">
    <w:name w:val="正文文本 Char2"/>
    <w:uiPriority w:val="99"/>
    <w:semiHidden/>
    <w:qFormat/>
    <w:rPr>
      <w:rFonts w:ascii="Times New Roman" w:hAnsi="Times New Roman" w:cs="Times New Roman"/>
      <w:sz w:val="24"/>
    </w:rPr>
  </w:style>
  <w:style w:type="character" w:styleId="981" w:customStyle="1">
    <w:name w:val="日期 Char3"/>
    <w:uiPriority w:val="99"/>
    <w:qFormat/>
    <w:rPr>
      <w:rFonts w:ascii="Calibri" w:hAnsi="Calibri" w:eastAsia="宋体" w:cs="Times New Roman"/>
      <w:sz w:val="24"/>
    </w:rPr>
  </w:style>
  <w:style w:type="character" w:styleId="982" w:customStyle="1">
    <w:name w:val="标题 Char1"/>
    <w:link w:val="867"/>
    <w:uiPriority w:val="99"/>
    <w:qFormat/>
    <w:rPr>
      <w:rFonts w:ascii="Cambria" w:hAnsi="Cambria" w:eastAsia="宋体" w:cs="Times New Roman"/>
      <w:b/>
      <w:sz w:val="32"/>
      <w:szCs w:val="20"/>
    </w:rPr>
  </w:style>
  <w:style w:type="character" w:styleId="983" w:customStyle="1">
    <w:name w:val="标题 4 字符"/>
    <w:uiPriority w:val="99"/>
    <w:qFormat/>
    <w:rPr>
      <w:rFonts w:ascii="Arial" w:hAnsi="Arial" w:eastAsia="黑体"/>
      <w:sz w:val="28"/>
    </w:rPr>
  </w:style>
  <w:style w:type="character" w:styleId="984" w:customStyle="1">
    <w:name w:val="标题 6 字符"/>
    <w:uiPriority w:val="99"/>
    <w:qFormat/>
    <w:rPr>
      <w:rFonts w:ascii="Arial" w:hAnsi="Arial" w:eastAsia="黑体"/>
      <w:b/>
      <w:sz w:val="24"/>
    </w:rPr>
  </w:style>
  <w:style w:type="character" w:styleId="985" w:customStyle="1">
    <w:name w:val="标题 7 字符"/>
    <w:uiPriority w:val="99"/>
    <w:qFormat/>
    <w:rPr>
      <w:rFonts w:ascii="Times New Roman" w:hAnsi="Times New Roman" w:eastAsia="宋体"/>
      <w:b/>
      <w:sz w:val="24"/>
    </w:rPr>
  </w:style>
  <w:style w:type="character" w:styleId="986" w:customStyle="1">
    <w:name w:val="标题 8 字符"/>
    <w:uiPriority w:val="99"/>
    <w:qFormat/>
    <w:rPr>
      <w:rFonts w:ascii="Arial" w:hAnsi="Arial" w:eastAsia="黑体"/>
      <w:sz w:val="24"/>
    </w:rPr>
  </w:style>
  <w:style w:type="character" w:styleId="987" w:customStyle="1">
    <w:name w:val="标题 9 字符"/>
    <w:uiPriority w:val="99"/>
    <w:qFormat/>
    <w:rPr>
      <w:rFonts w:ascii="Arial" w:hAnsi="Arial" w:eastAsia="黑体"/>
      <w:sz w:val="21"/>
    </w:rPr>
  </w:style>
  <w:style w:type="character" w:styleId="988" w:customStyle="1">
    <w:name w:val="批注文字 字符"/>
    <w:uiPriority w:val="99"/>
    <w:semiHidden/>
    <w:qFormat/>
    <w:rPr>
      <w:rFonts w:ascii="Calibri" w:hAnsi="Calibri" w:eastAsia="宋体"/>
      <w:sz w:val="24"/>
    </w:rPr>
  </w:style>
  <w:style w:type="character" w:styleId="989" w:customStyle="1">
    <w:name w:val="批注主题 字符"/>
    <w:uiPriority w:val="99"/>
    <w:qFormat/>
    <w:rPr>
      <w:rFonts w:ascii="Calibri" w:hAnsi="Calibri" w:eastAsia="宋体"/>
      <w:b/>
      <w:sz w:val="24"/>
    </w:rPr>
  </w:style>
  <w:style w:type="character" w:styleId="990" w:customStyle="1">
    <w:name w:val="正文文本首行缩进 字符"/>
    <w:uiPriority w:val="99"/>
    <w:qFormat/>
    <w:rPr>
      <w:rFonts w:ascii="仿宋_GB2312" w:hAnsi="Arial" w:eastAsia="仿宋_GB2312"/>
      <w:sz w:val="24"/>
    </w:rPr>
  </w:style>
  <w:style w:type="character" w:styleId="991" w:customStyle="1">
    <w:name w:val="文档结构图 字符"/>
    <w:uiPriority w:val="99"/>
    <w:semiHidden/>
    <w:qFormat/>
    <w:rPr>
      <w:rFonts w:ascii="Calibri" w:hAnsi="Calibri" w:eastAsia="宋体"/>
      <w:sz w:val="24"/>
      <w:shd w:val="clear" w:color="auto" w:fill="000080"/>
    </w:rPr>
  </w:style>
  <w:style w:type="character" w:styleId="992" w:customStyle="1">
    <w:name w:val="正文文本 3 字符"/>
    <w:uiPriority w:val="99"/>
    <w:qFormat/>
    <w:rPr>
      <w:rFonts w:ascii="仿宋_GB2312" w:hAnsi="Arial" w:eastAsia="仿宋_GB2312"/>
      <w:sz w:val="32"/>
    </w:rPr>
  </w:style>
  <w:style w:type="character" w:styleId="993" w:customStyle="1">
    <w:name w:val="正文文本缩进 字符"/>
    <w:uiPriority w:val="99"/>
    <w:qFormat/>
    <w:rPr>
      <w:rFonts w:ascii="楷体_GB2312" w:hAnsi="Calibri" w:eastAsia="楷体_GB2312"/>
      <w:sz w:val="32"/>
    </w:rPr>
  </w:style>
  <w:style w:type="character" w:styleId="994" w:customStyle="1">
    <w:name w:val="正文文本缩进 2 字符"/>
    <w:uiPriority w:val="99"/>
    <w:qFormat/>
    <w:rPr>
      <w:rFonts w:ascii="Arial" w:hAnsi="Arial" w:eastAsia="仿宋_GB2312"/>
      <w:sz w:val="32"/>
    </w:rPr>
  </w:style>
  <w:style w:type="character" w:styleId="995" w:customStyle="1">
    <w:name w:val="批注框文本 字符"/>
    <w:uiPriority w:val="99"/>
    <w:qFormat/>
    <w:rPr>
      <w:rFonts w:ascii="Calibri" w:hAnsi="Calibri" w:eastAsia="宋体"/>
      <w:sz w:val="18"/>
    </w:rPr>
  </w:style>
  <w:style w:type="character" w:styleId="996" w:customStyle="1">
    <w:name w:val="页脚 字符"/>
    <w:uiPriority w:val="99"/>
    <w:qFormat/>
    <w:rPr>
      <w:sz w:val="18"/>
    </w:rPr>
  </w:style>
  <w:style w:type="character" w:styleId="997" w:customStyle="1">
    <w:name w:val="页眉 字符"/>
    <w:uiPriority w:val="99"/>
    <w:qFormat/>
    <w:rPr>
      <w:sz w:val="18"/>
    </w:rPr>
  </w:style>
  <w:style w:type="character" w:styleId="998" w:customStyle="1">
    <w:name w:val="正文文本缩进 3 字符"/>
    <w:uiPriority w:val="99"/>
    <w:qFormat/>
    <w:rPr>
      <w:rFonts w:ascii="Arial" w:hAnsi="Arial" w:eastAsia="仿宋_GB2312"/>
      <w:color w:val="ffff00"/>
      <w:sz w:val="32"/>
    </w:rPr>
  </w:style>
  <w:style w:type="character" w:styleId="999" w:customStyle="1">
    <w:name w:val="正文文本 2 字符"/>
    <w:uiPriority w:val="99"/>
    <w:qFormat/>
    <w:rPr>
      <w:rFonts w:ascii="楷体_GB2312" w:hAnsi="Calibri" w:eastAsia="楷体_GB2312"/>
      <w:sz w:val="28"/>
    </w:rPr>
  </w:style>
  <w:style w:type="character" w:styleId="1000" w:customStyle="1">
    <w:name w:val="正文缩进 Char"/>
    <w:uiPriority w:val="99"/>
    <w:qFormat/>
    <w:rPr>
      <w:rFonts w:ascii="楷体_GB2312" w:eastAsia="楷体_GB2312"/>
      <w:sz w:val="24"/>
    </w:rPr>
  </w:style>
  <w:style w:type="character" w:styleId="1001" w:customStyle="1">
    <w:name w:val="正文文本 Char1"/>
    <w:uiPriority w:val="99"/>
    <w:semiHidden/>
    <w:qFormat/>
    <w:rPr>
      <w:rFonts w:ascii="Calibri" w:hAnsi="Calibri" w:eastAsia="宋体"/>
      <w:sz w:val="24"/>
      <w:lang w:val="en-US" w:eastAsia="zh-CN"/>
    </w:rPr>
  </w:style>
  <w:style w:type="character" w:styleId="1002" w:customStyle="1">
    <w:name w:val="正文文本 3 Char2"/>
    <w:uiPriority w:val="99"/>
    <w:semiHidden/>
    <w:qFormat/>
    <w:rPr>
      <w:rFonts w:ascii="Times New Roman" w:hAnsi="Times New Roman"/>
      <w:sz w:val="16"/>
    </w:rPr>
  </w:style>
  <w:style w:type="character" w:styleId="1003" w:customStyle="1">
    <w:name w:val="正文首行缩进 Char2"/>
    <w:uiPriority w:val="99"/>
    <w:semiHidden/>
    <w:qFormat/>
    <w:rPr>
      <w:rFonts w:ascii="Times New Roman" w:hAnsi="Times New Roman"/>
      <w:sz w:val="24"/>
    </w:rPr>
  </w:style>
  <w:style w:type="character" w:styleId="1004" w:customStyle="1">
    <w:name w:val="批注主题 Char2"/>
    <w:uiPriority w:val="99"/>
    <w:semiHidden/>
    <w:qFormat/>
    <w:rPr>
      <w:rFonts w:ascii="Times New Roman" w:hAnsi="Times New Roman"/>
      <w:b/>
      <w:sz w:val="24"/>
    </w:rPr>
  </w:style>
  <w:style w:type="paragraph" w:styleId="1005" w:customStyle="1">
    <w:name w:val="Char Char Char Char Char Char Char Char Char Char Char Char Char Char Char Char1"/>
    <w:basedOn w:val="823"/>
    <w:uiPriority w:val="99"/>
    <w:qFormat/>
    <w:pPr>
      <w:spacing w:line="360" w:lineRule="auto"/>
    </w:pPr>
    <w:rPr>
      <w:rFonts w:ascii="Arial" w:hAnsi="Arial" w:eastAsia="黑体" w:cs="Verdana"/>
      <w:b/>
      <w:sz w:val="30"/>
      <w:lang w:eastAsia="en-US"/>
    </w:rPr>
  </w:style>
  <w:style w:type="character" w:styleId="1006" w:customStyle="1">
    <w:name w:val="正文文本缩进 3 Char2"/>
    <w:uiPriority w:val="99"/>
    <w:semiHidden/>
    <w:qFormat/>
    <w:rPr>
      <w:rFonts w:ascii="Times New Roman" w:hAnsi="Times New Roman"/>
      <w:sz w:val="16"/>
    </w:rPr>
  </w:style>
  <w:style w:type="character" w:styleId="1007" w:customStyle="1">
    <w:name w:val="批注框文本 Char2"/>
    <w:uiPriority w:val="99"/>
    <w:semiHidden/>
    <w:qFormat/>
    <w:rPr>
      <w:rFonts w:ascii="Times New Roman" w:hAnsi="Times New Roman"/>
      <w:sz w:val="18"/>
    </w:rPr>
  </w:style>
  <w:style w:type="character" w:styleId="1008" w:customStyle="1">
    <w:name w:val="日期 Char2"/>
    <w:uiPriority w:val="99"/>
    <w:semiHidden/>
    <w:qFormat/>
    <w:rPr>
      <w:rFonts w:ascii="Times New Roman" w:hAnsi="Times New Roman"/>
      <w:sz w:val="24"/>
    </w:rPr>
  </w:style>
  <w:style w:type="character" w:styleId="1009" w:customStyle="1">
    <w:name w:val="正文文本缩进 Char2"/>
    <w:uiPriority w:val="99"/>
    <w:semiHidden/>
    <w:qFormat/>
    <w:rPr>
      <w:rFonts w:ascii="Times New Roman" w:hAnsi="Times New Roman"/>
      <w:sz w:val="24"/>
    </w:rPr>
  </w:style>
  <w:style w:type="character" w:styleId="1010" w:customStyle="1">
    <w:name w:val="正文文本缩进 2 Char2"/>
    <w:uiPriority w:val="99"/>
    <w:semiHidden/>
    <w:qFormat/>
    <w:rPr>
      <w:rFonts w:ascii="Times New Roman" w:hAnsi="Times New Roman"/>
      <w:sz w:val="24"/>
    </w:rPr>
  </w:style>
  <w:style w:type="character" w:styleId="1011" w:customStyle="1">
    <w:name w:val="正文文本 2 Char2"/>
    <w:uiPriority w:val="99"/>
    <w:semiHidden/>
    <w:qFormat/>
    <w:rPr>
      <w:rFonts w:ascii="Times New Roman" w:hAnsi="Times New Roman"/>
      <w:sz w:val="24"/>
    </w:rPr>
  </w:style>
  <w:style w:type="character" w:styleId="1012" w:customStyle="1">
    <w:name w:val="正文首行缩进 2 Char2"/>
    <w:uiPriority w:val="99"/>
    <w:semiHidden/>
    <w:qFormat/>
    <w:rPr>
      <w:rFonts w:ascii="Times New Roman" w:hAnsi="Times New Roman"/>
      <w:sz w:val="24"/>
    </w:rPr>
  </w:style>
  <w:style w:type="character" w:styleId="1013" w:customStyle="1">
    <w:name w:val="纯文本 Char2"/>
    <w:uiPriority w:val="99"/>
    <w:semiHidden/>
    <w:qFormat/>
    <w:rPr>
      <w:rFonts w:ascii="宋体" w:hAnsi="Courier New" w:eastAsia="宋体"/>
      <w:sz w:val="21"/>
    </w:rPr>
  </w:style>
  <w:style w:type="character" w:styleId="1014" w:customStyle="1">
    <w:name w:val="正文文本 (2)_"/>
    <w:link w:val="1015"/>
    <w:uiPriority w:val="99"/>
    <w:qFormat/>
    <w:rPr>
      <w:rFonts w:ascii="MingLiU" w:hAnsi="MingLiU" w:eastAsia="MingLiU"/>
      <w:shd w:val="clear" w:color="auto" w:fill="ffffff"/>
    </w:rPr>
  </w:style>
  <w:style w:type="paragraph" w:styleId="1015" w:customStyle="1">
    <w:name w:val="正文文本 (2)8"/>
    <w:basedOn w:val="823"/>
    <w:link w:val="1014"/>
    <w:uiPriority w:val="99"/>
    <w:qFormat/>
    <w:pPr>
      <w:ind w:hanging="540"/>
      <w:jc w:val="both"/>
      <w:spacing w:before="540" w:after="60" w:line="432" w:lineRule="exact"/>
      <w:shd w:val="clear" w:color="auto" w:fill="ffffff"/>
    </w:pPr>
    <w:rPr>
      <w:rFonts w:ascii="MingLiU" w:hAnsi="MingLiU" w:eastAsia="MingLiU" w:cstheme="minorBidi"/>
      <w:szCs w:val="22"/>
    </w:rPr>
  </w:style>
  <w:style w:type="character" w:styleId="1016" w:customStyle="1">
    <w:name w:val="20"/>
    <w:uiPriority w:val="99"/>
    <w:qFormat/>
    <w:rPr>
      <w:rFonts w:ascii="MingLiU" w:hAnsi="MingLiU" w:eastAsia="MingLiU"/>
      <w:color w:val="000000"/>
      <w:spacing w:val="0"/>
      <w:sz w:val="21"/>
    </w:rPr>
  </w:style>
  <w:style w:type="character" w:styleId="1017" w:customStyle="1">
    <w:name w:val="15"/>
    <w:uiPriority w:val="99"/>
    <w:qFormat/>
    <w:rPr>
      <w:rFonts w:ascii="MingLiU" w:hAnsi="MingLiU" w:eastAsia="MingLiU"/>
      <w:color w:val="000000"/>
      <w:spacing w:val="30"/>
      <w:sz w:val="21"/>
    </w:rPr>
  </w:style>
  <w:style w:type="character" w:styleId="1018" w:customStyle="1">
    <w:name w:val="正文文本 (2)"/>
    <w:uiPriority w:val="99"/>
    <w:qFormat/>
    <w:rPr>
      <w:rFonts w:ascii="MingLiU" w:hAnsi="MingLiU" w:eastAsia="MingLiU"/>
      <w:color w:val="000000"/>
      <w:spacing w:val="0"/>
      <w:position w:val="0"/>
      <w:sz w:val="21"/>
      <w:u w:val="single"/>
      <w:shd w:val="clear" w:color="auto" w:fill="ffffff"/>
      <w:lang w:val="zh-TW" w:eastAsia="zh-TW"/>
    </w:rPr>
  </w:style>
  <w:style w:type="character" w:styleId="1019" w:customStyle="1">
    <w:name w:val="正文文本 (2) + 间距 1 pt"/>
    <w:uiPriority w:val="99"/>
    <w:qFormat/>
    <w:rPr>
      <w:rFonts w:ascii="MingLiU" w:hAnsi="MingLiU" w:eastAsia="MingLiU"/>
      <w:color w:val="000000"/>
      <w:spacing w:val="30"/>
      <w:position w:val="0"/>
      <w:sz w:val="21"/>
      <w:u w:val="none"/>
      <w:shd w:val="clear" w:color="auto" w:fill="ffffff"/>
      <w:lang w:val="zh-TW" w:eastAsia="zh-TW"/>
    </w:rPr>
  </w:style>
  <w:style w:type="character" w:styleId="1020" w:customStyle="1">
    <w:name w:val="正文文本 (2)3"/>
    <w:uiPriority w:val="99"/>
    <w:qFormat/>
    <w:rPr>
      <w:rFonts w:ascii="MingLiU" w:hAnsi="MingLiU" w:eastAsia="MingLiU"/>
      <w:color w:val="000000"/>
      <w:spacing w:val="0"/>
      <w:position w:val="0"/>
      <w:sz w:val="21"/>
      <w:u w:val="none"/>
      <w:shd w:val="clear" w:color="auto" w:fill="ffffff"/>
      <w:lang w:val="zh-TW" w:eastAsia="zh-TW"/>
    </w:rPr>
  </w:style>
  <w:style w:type="character" w:styleId="1021" w:customStyle="1">
    <w:name w:val="正文文本 (5)_"/>
    <w:link w:val="1022"/>
    <w:uiPriority w:val="99"/>
    <w:qFormat/>
    <w:rPr>
      <w:rFonts w:ascii="MingLiU" w:hAnsi="MingLiU" w:eastAsia="MingLiU"/>
      <w:b/>
      <w:shd w:val="clear" w:color="auto" w:fill="ffffff"/>
    </w:rPr>
  </w:style>
  <w:style w:type="paragraph" w:styleId="1022" w:customStyle="1">
    <w:name w:val="正文文本 (5)"/>
    <w:basedOn w:val="823"/>
    <w:link w:val="1021"/>
    <w:uiPriority w:val="99"/>
    <w:qFormat/>
    <w:pPr>
      <w:spacing w:line="499" w:lineRule="exact"/>
      <w:shd w:val="clear" w:color="auto" w:fill="ffffff"/>
    </w:pPr>
    <w:rPr>
      <w:rFonts w:ascii="MingLiU" w:hAnsi="MingLiU" w:eastAsia="MingLiU" w:cstheme="minorBidi"/>
      <w:b/>
      <w:szCs w:val="22"/>
    </w:rPr>
  </w:style>
  <w:style w:type="character" w:styleId="1023" w:customStyle="1">
    <w:name w:val="正文文本 (2)7"/>
    <w:uiPriority w:val="99"/>
    <w:qFormat/>
    <w:rPr>
      <w:rFonts w:ascii="MingLiU" w:hAnsi="MingLiU" w:eastAsia="MingLiU"/>
      <w:color w:val="000000"/>
      <w:spacing w:val="0"/>
      <w:position w:val="0"/>
      <w:sz w:val="21"/>
      <w:u w:val="none"/>
      <w:shd w:val="clear" w:color="auto" w:fill="ffffff"/>
      <w:lang w:val="zh-TW" w:eastAsia="zh-TW"/>
    </w:rPr>
  </w:style>
  <w:style w:type="character" w:styleId="1024" w:customStyle="1">
    <w:name w:val="正文文本 (2) + 粗体5"/>
    <w:uiPriority w:val="99"/>
    <w:qFormat/>
    <w:rPr>
      <w:rFonts w:ascii="MingLiU" w:hAnsi="MingLiU" w:eastAsia="MingLiU"/>
      <w:b/>
      <w:color w:val="000000"/>
      <w:spacing w:val="0"/>
      <w:position w:val="0"/>
      <w:sz w:val="21"/>
      <w:u w:val="single"/>
      <w:shd w:val="clear" w:color="auto" w:fill="ffffff"/>
      <w:lang w:val="zh-TW" w:eastAsia="zh-TW"/>
    </w:rPr>
  </w:style>
  <w:style w:type="paragraph" w:styleId="1025" w:customStyle="1">
    <w:name w:val="无间隔1"/>
    <w:uiPriority w:val="99"/>
    <w:qFormat/>
    <w:pPr>
      <w:jc w:val="both"/>
      <w:widowControl w:val="off"/>
    </w:pPr>
    <w:rPr>
      <w:rFonts w:ascii="Calibri" w:hAnsi="Calibri" w:eastAsia="宋体" w:cs="Times New Roman"/>
      <w:sz w:val="21"/>
      <w:szCs w:val="22"/>
      <w:lang w:val="en-US" w:eastAsia="zh-CN" w:bidi="ar-SA"/>
    </w:rPr>
  </w:style>
  <w:style w:type="character" w:styleId="1026" w:customStyle="1">
    <w:name w:val="标准文本 Char Char"/>
    <w:uiPriority w:val="99"/>
    <w:qFormat/>
    <w:rPr>
      <w:rFonts w:ascii="宋体" w:hAnsi="宋体" w:eastAsia="宋体"/>
      <w:sz w:val="24"/>
    </w:rPr>
  </w:style>
  <w:style w:type="character" w:styleId="1027" w:customStyle="1">
    <w:name w:val="正文缩进 Char1"/>
    <w:uiPriority w:val="0"/>
    <w:qFormat/>
    <w:rPr>
      <w:sz w:val="21"/>
    </w:rPr>
  </w:style>
  <w:style w:type="character" w:styleId="1028" w:customStyle="1">
    <w:name w:val="图 Char Char"/>
    <w:uiPriority w:val="99"/>
    <w:qFormat/>
    <w:rPr>
      <w:rFonts w:ascii="宋体" w:hAnsi="宋体" w:eastAsia="宋体"/>
      <w:sz w:val="21"/>
    </w:rPr>
  </w:style>
  <w:style w:type="character" w:styleId="1029" w:customStyle="1">
    <w:name w:val="纯文本 Char Char Char"/>
    <w:uiPriority w:val="99"/>
    <w:qFormat/>
    <w:rPr>
      <w:rFonts w:ascii="宋体" w:hAnsi="Courier New" w:eastAsia="宋体"/>
      <w:sz w:val="21"/>
      <w:lang w:val="en-US" w:eastAsia="zh-CN"/>
    </w:rPr>
  </w:style>
  <w:style w:type="character" w:styleId="1030" w:customStyle="1">
    <w:name w:val="脚注文本 Char1"/>
    <w:uiPriority w:val="99"/>
    <w:qFormat/>
    <w:rPr>
      <w:sz w:val="18"/>
    </w:rPr>
  </w:style>
  <w:style w:type="character" w:styleId="1031" w:customStyle="1">
    <w:name w:val="Char Char16"/>
    <w:uiPriority w:val="99"/>
    <w:qFormat/>
    <w:rPr>
      <w:rFonts w:ascii="Times New Roman" w:hAnsi="Times New Roman" w:eastAsia="宋体"/>
      <w:sz w:val="24"/>
    </w:rPr>
  </w:style>
  <w:style w:type="character" w:styleId="1032" w:customStyle="1">
    <w:name w:val="标准文本 Char"/>
    <w:uiPriority w:val="99"/>
    <w:qFormat/>
    <w:rPr>
      <w:rFonts w:ascii="宋体" w:hAnsi="宋体" w:eastAsia="宋体"/>
      <w:sz w:val="24"/>
      <w:lang w:val="en-US" w:eastAsia="zh-CN"/>
    </w:rPr>
  </w:style>
  <w:style w:type="character" w:styleId="1033" w:customStyle="1">
    <w:name w:val="表格 Char"/>
    <w:uiPriority w:val="99"/>
    <w:qFormat/>
    <w:rPr>
      <w:rFonts w:ascii="宋体" w:hAnsi="宋体" w:eastAsia="宋体"/>
      <w:sz w:val="21"/>
      <w:lang w:val="en-US" w:eastAsia="zh-CN"/>
    </w:rPr>
  </w:style>
  <w:style w:type="character" w:styleId="1034" w:customStyle="1">
    <w:name w:val="段 Char"/>
    <w:uiPriority w:val="99"/>
    <w:qFormat/>
    <w:rPr>
      <w:rFonts w:ascii="宋体" w:hAnsi="宋体" w:eastAsia="宋体"/>
      <w:sz w:val="21"/>
    </w:rPr>
  </w:style>
  <w:style w:type="character" w:styleId="1035" w:customStyle="1">
    <w:name w:val="Char Char11"/>
    <w:uiPriority w:val="99"/>
    <w:qFormat/>
    <w:rPr>
      <w:rFonts w:ascii="黑体" w:hAnsi="Times New Roman" w:eastAsia="黑体"/>
      <w:sz w:val="20"/>
    </w:rPr>
  </w:style>
  <w:style w:type="character" w:styleId="1036" w:customStyle="1">
    <w:name w:val="正文四号 Char"/>
    <w:uiPriority w:val="99"/>
    <w:qFormat/>
    <w:rPr>
      <w:rFonts w:ascii="仿宋_GB2312" w:eastAsia="仿宋_GB2312"/>
      <w:sz w:val="28"/>
    </w:rPr>
  </w:style>
  <w:style w:type="character" w:styleId="1037" w:customStyle="1">
    <w:name w:val="标题 4 Char1"/>
    <w:uiPriority w:val="99"/>
    <w:qFormat/>
    <w:rPr>
      <w:rFonts w:ascii="黑体" w:hAnsi="宋体" w:eastAsia="黑体"/>
      <w:sz w:val="28"/>
    </w:rPr>
  </w:style>
  <w:style w:type="character" w:styleId="1038" w:customStyle="1">
    <w:name w:val="表格 Char Char"/>
    <w:uiPriority w:val="99"/>
    <w:qFormat/>
    <w:rPr>
      <w:sz w:val="21"/>
    </w:rPr>
  </w:style>
  <w:style w:type="character" w:styleId="1039" w:customStyle="1">
    <w:name w:val="省厅正文 Char"/>
    <w:uiPriority w:val="99"/>
    <w:qFormat/>
    <w:rPr>
      <w:rFonts w:ascii="仿宋_GB2312" w:eastAsia="仿宋_GB2312"/>
      <w:sz w:val="32"/>
    </w:rPr>
  </w:style>
  <w:style w:type="character" w:styleId="1040" w:customStyle="1">
    <w:name w:val="HTML 预设格式 Char1"/>
    <w:uiPriority w:val="99"/>
    <w:qFormat/>
    <w:rPr>
      <w:rFonts w:ascii="Courier New" w:hAnsi="Courier New"/>
    </w:rPr>
  </w:style>
  <w:style w:type="character" w:styleId="1041" w:customStyle="1">
    <w:name w:val="无间隔 Char"/>
    <w:uiPriority w:val="99"/>
    <w:qFormat/>
    <w:rPr>
      <w:rFonts w:ascii="宋体" w:hAnsi="宋体" w:eastAsia="宋体"/>
      <w:sz w:val="24"/>
      <w:lang w:eastAsia="en-US"/>
    </w:rPr>
  </w:style>
  <w:style w:type="character" w:styleId="1042" w:customStyle="1">
    <w:name w:val="postbody1"/>
    <w:uiPriority w:val="99"/>
    <w:qFormat/>
    <w:rPr>
      <w:rFonts w:ascii="Times New Roman" w:hAnsi="Times New Roman"/>
      <w:sz w:val="21"/>
    </w:rPr>
  </w:style>
  <w:style w:type="character" w:styleId="1043" w:customStyle="1">
    <w:name w:val="Char Char12"/>
    <w:uiPriority w:val="99"/>
    <w:qFormat/>
    <w:rPr>
      <w:rFonts w:ascii="宋体" w:hAnsi="Times New Roman" w:eastAsia="宋体"/>
      <w:sz w:val="18"/>
    </w:rPr>
  </w:style>
  <w:style w:type="paragraph" w:styleId="1044" w:customStyle="1">
    <w:name w:val="报告正文"/>
    <w:basedOn w:val="823"/>
    <w:uiPriority w:val="99"/>
    <w:qFormat/>
    <w:pPr>
      <w:ind w:left="2600"/>
      <w:spacing w:line="312" w:lineRule="auto"/>
    </w:pPr>
    <w:rPr>
      <w:rFonts w:ascii="华文细黑" w:eastAsia="华文细黑"/>
      <w:sz w:val="20"/>
      <w:szCs w:val="20"/>
    </w:rPr>
  </w:style>
  <w:style w:type="character" w:styleId="1045" w:customStyle="1">
    <w:name w:val="页码1"/>
    <w:uiPriority w:val="99"/>
    <w:qFormat/>
    <w:rPr>
      <w:rFonts w:ascii="Verdana" w:hAnsi="Verdana" w:eastAsia="宋体"/>
      <w:sz w:val="21"/>
      <w:lang w:val="en-US" w:eastAsia="en-US"/>
    </w:rPr>
  </w:style>
  <w:style w:type="character" w:styleId="1046" w:customStyle="1">
    <w:name w:val="标准正文 Char"/>
    <w:uiPriority w:val="99"/>
    <w:qFormat/>
    <w:rPr>
      <w:spacing w:val="-4"/>
      <w:sz w:val="24"/>
    </w:rPr>
  </w:style>
  <w:style w:type="character" w:styleId="1047" w:customStyle="1">
    <w:name w:val="wz1"/>
    <w:uiPriority w:val="99"/>
    <w:qFormat/>
    <w:rPr>
      <w:rFonts w:ascii="Tahoma" w:hAnsi="Tahoma" w:eastAsia="宋体"/>
      <w:color w:val="000000"/>
      <w:sz w:val="21"/>
      <w:u w:val="none"/>
      <w:lang w:val="en-US" w:eastAsia="zh-CN"/>
    </w:rPr>
  </w:style>
  <w:style w:type="character" w:styleId="1048" w:customStyle="1">
    <w:name w:val="Char Char6"/>
    <w:uiPriority w:val="99"/>
    <w:qFormat/>
    <w:rPr>
      <w:rFonts w:ascii="Times New Roman" w:hAnsi="Times New Roman" w:eastAsia="宋体"/>
      <w:b/>
      <w:sz w:val="44"/>
    </w:rPr>
  </w:style>
  <w:style w:type="character" w:styleId="1049" w:customStyle="1">
    <w:name w:val="lineb1"/>
    <w:uiPriority w:val="99"/>
    <w:qFormat/>
    <w:rPr>
      <w:rFonts w:ascii="宋体" w:hAnsi="宋体" w:eastAsia="宋体"/>
      <w:spacing w:val="360"/>
      <w:sz w:val="24"/>
      <w:lang w:val="en-US" w:eastAsia="zh-CN"/>
    </w:rPr>
  </w:style>
  <w:style w:type="character" w:styleId="1050" w:customStyle="1">
    <w:name w:val="Char Char13"/>
    <w:uiPriority w:val="99"/>
    <w:qFormat/>
    <w:rPr>
      <w:rFonts w:ascii="Calibri" w:hAnsi="Calibri" w:eastAsia="宋体"/>
      <w:sz w:val="24"/>
      <w:lang w:val="en-US" w:eastAsia="zh-CN"/>
    </w:rPr>
  </w:style>
  <w:style w:type="character" w:styleId="1051" w:customStyle="1">
    <w:name w:val="Char Char61"/>
    <w:uiPriority w:val="99"/>
    <w:qFormat/>
    <w:rPr>
      <w:rFonts w:ascii="Times New Roman" w:hAnsi="Times New Roman" w:eastAsia="宋体"/>
      <w:b/>
      <w:sz w:val="44"/>
    </w:rPr>
  </w:style>
  <w:style w:type="character" w:styleId="1052" w:customStyle="1">
    <w:name w:val="列表编号 Char"/>
    <w:link w:val="838"/>
    <w:uiPriority w:val="99"/>
    <w:qFormat/>
    <w:rPr>
      <w:rFonts w:ascii="Times New Roman" w:hAnsi="Times New Roman" w:eastAsia="宋体" w:cs="Times New Roman"/>
      <w:sz w:val="24"/>
      <w:szCs w:val="24"/>
    </w:rPr>
  </w:style>
  <w:style w:type="character" w:styleId="1053" w:customStyle="1">
    <w:name w:val="ziti211"/>
    <w:uiPriority w:val="99"/>
    <w:qFormat/>
    <w:rPr>
      <w:rFonts w:ascii="Times New Roman" w:hAnsi="Times New Roman"/>
      <w:color w:val="666666"/>
      <w:spacing w:val="420"/>
      <w:sz w:val="24"/>
    </w:rPr>
  </w:style>
  <w:style w:type="character" w:styleId="1054" w:customStyle="1">
    <w:name w:val="页码11"/>
    <w:uiPriority w:val="99"/>
    <w:qFormat/>
    <w:rPr>
      <w:rFonts w:ascii="Verdana" w:hAnsi="Verdana" w:eastAsia="宋体"/>
      <w:sz w:val="21"/>
      <w:lang w:val="en-US" w:eastAsia="en-US"/>
    </w:rPr>
  </w:style>
  <w:style w:type="character" w:styleId="1055" w:customStyle="1">
    <w:name w:val="font11"/>
    <w:uiPriority w:val="99"/>
    <w:qFormat/>
    <w:rPr>
      <w:rFonts w:ascii="宋体" w:hAnsi="宋体" w:eastAsia="宋体"/>
      <w:color w:val="000000"/>
      <w:sz w:val="20"/>
      <w:u w:val="none"/>
      <w:vertAlign w:val="superscript"/>
    </w:rPr>
  </w:style>
  <w:style w:type="character" w:styleId="1056" w:customStyle="1">
    <w:name w:val="font21"/>
    <w:uiPriority w:val="99"/>
    <w:qFormat/>
    <w:rPr>
      <w:rFonts w:ascii="宋体" w:hAnsi="宋体" w:eastAsia="宋体"/>
      <w:color w:val="000000"/>
      <w:sz w:val="20"/>
      <w:u w:val="none"/>
    </w:rPr>
  </w:style>
  <w:style w:type="character" w:styleId="1057" w:customStyle="1">
    <w:name w:val="批注引用1"/>
    <w:uiPriority w:val="99"/>
    <w:qFormat/>
    <w:rPr>
      <w:sz w:val="21"/>
    </w:rPr>
  </w:style>
  <w:style w:type="character" w:styleId="1058" w:customStyle="1">
    <w:name w:val="small"/>
    <w:uiPriority w:val="99"/>
    <w:qFormat/>
    <w:rPr>
      <w:rFonts w:ascii="Times New Roman" w:hAnsi="Times New Roman"/>
    </w:rPr>
  </w:style>
  <w:style w:type="character" w:styleId="1059" w:customStyle="1">
    <w:name w:val="正文格式 Char1"/>
    <w:uiPriority w:val="99"/>
    <w:qFormat/>
    <w:rPr>
      <w:rFonts w:ascii="宋体" w:hAnsi="宋体" w:eastAsia="宋体"/>
      <w:sz w:val="21"/>
    </w:rPr>
  </w:style>
  <w:style w:type="character" w:styleId="1060" w:customStyle="1">
    <w:name w:val="Char Char10"/>
    <w:uiPriority w:val="99"/>
    <w:qFormat/>
    <w:rPr>
      <w:rFonts w:ascii="宋体" w:hAnsi="Times New Roman" w:eastAsia="宋体"/>
      <w:sz w:val="20"/>
    </w:rPr>
  </w:style>
  <w:style w:type="character" w:styleId="1061" w:customStyle="1">
    <w:name w:val="题注 Char"/>
    <w:link w:val="839"/>
    <w:uiPriority w:val="99"/>
    <w:qFormat/>
    <w:rPr>
      <w:rFonts w:ascii="黑体" w:hAnsi="Times New Roman" w:eastAsia="黑体" w:cs="Arial"/>
      <w:sz w:val="24"/>
      <w:szCs w:val="20"/>
    </w:rPr>
  </w:style>
  <w:style w:type="character" w:styleId="1062" w:customStyle="1">
    <w:name w:val="批注引用2"/>
    <w:uiPriority w:val="99"/>
    <w:qFormat/>
    <w:rPr>
      <w:sz w:val="21"/>
    </w:rPr>
  </w:style>
  <w:style w:type="character" w:styleId="1063" w:customStyle="1">
    <w:name w:val="text12st_hs1"/>
    <w:uiPriority w:val="99"/>
    <w:qFormat/>
    <w:rPr>
      <w:rFonts w:ascii="Times New Roman" w:hAnsi="Times New Roman"/>
      <w:color w:val="000000"/>
      <w:sz w:val="19"/>
      <w:u w:val="none"/>
    </w:rPr>
  </w:style>
  <w:style w:type="character" w:styleId="1064" w:customStyle="1">
    <w:name w:val="正文（缩进） Char"/>
    <w:link w:val="1065"/>
    <w:uiPriority w:val="99"/>
    <w:qFormat/>
    <w:rPr>
      <w:sz w:val="24"/>
    </w:rPr>
  </w:style>
  <w:style w:type="paragraph" w:styleId="1065" w:customStyle="1">
    <w:name w:val="正文（缩进）"/>
    <w:basedOn w:val="823"/>
    <w:link w:val="1064"/>
    <w:uiPriority w:val="99"/>
    <w:qFormat/>
    <w:pPr>
      <w:ind w:firstLine="480"/>
      <w:spacing w:line="360" w:lineRule="auto"/>
    </w:pPr>
    <w:rPr>
      <w:rFonts w:asciiTheme="minorHAnsi" w:hAnsiTheme="minorHAnsi" w:eastAsiaTheme="minorEastAsia" w:cstheme="minorBidi"/>
      <w:sz w:val="24"/>
      <w:szCs w:val="22"/>
    </w:rPr>
  </w:style>
  <w:style w:type="character" w:styleId="1066" w:customStyle="1">
    <w:name w:val="图号 Char Char1"/>
    <w:uiPriority w:val="99"/>
    <w:qFormat/>
    <w:rPr>
      <w:sz w:val="24"/>
    </w:rPr>
  </w:style>
  <w:style w:type="character" w:styleId="1067" w:customStyle="1">
    <w:name w:val="标题 1 Char Char"/>
    <w:uiPriority w:val="99"/>
    <w:qFormat/>
    <w:rPr>
      <w:rFonts w:ascii="宋体" w:hAnsi="宋体" w:eastAsia="宋体"/>
      <w:b/>
      <w:spacing w:val="-2"/>
      <w:sz w:val="24"/>
      <w:lang w:val="en-US" w:eastAsia="zh-CN"/>
    </w:rPr>
  </w:style>
  <w:style w:type="character" w:styleId="1068" w:customStyle="1">
    <w:name w:val="param_td12"/>
    <w:uiPriority w:val="99"/>
    <w:qFormat/>
    <w:rPr>
      <w:rFonts w:ascii="Tahoma" w:hAnsi="Tahoma" w:eastAsia="宋体"/>
      <w:sz w:val="24"/>
      <w:lang w:val="en-US" w:eastAsia="zh-CN"/>
    </w:rPr>
  </w:style>
  <w:style w:type="character" w:styleId="1069" w:customStyle="1">
    <w:name w:val="图 Char"/>
    <w:uiPriority w:val="99"/>
    <w:qFormat/>
    <w:rPr>
      <w:rFonts w:ascii="宋体" w:hAnsi="宋体" w:eastAsia="宋体"/>
      <w:sz w:val="21"/>
      <w:lang w:val="en-US" w:eastAsia="zh-CN"/>
    </w:rPr>
  </w:style>
  <w:style w:type="character" w:styleId="1070" w:customStyle="1">
    <w:name w:val="SZF项目正文 Char Char"/>
    <w:uiPriority w:val="99"/>
    <w:qFormat/>
    <w:rPr>
      <w:rFonts w:ascii="宋体" w:hAnsi="宋体" w:eastAsia="宋体"/>
      <w:sz w:val="24"/>
    </w:rPr>
  </w:style>
  <w:style w:type="character" w:styleId="1071" w:customStyle="1">
    <w:name w:val="font41"/>
    <w:uiPriority w:val="99"/>
    <w:qFormat/>
    <w:rPr>
      <w:rFonts w:ascii="宋体" w:hAnsi="宋体" w:eastAsia="宋体"/>
      <w:color w:val="000000"/>
      <w:sz w:val="18"/>
      <w:u w:val="none"/>
    </w:rPr>
  </w:style>
  <w:style w:type="character" w:styleId="1072" w:customStyle="1">
    <w:name w:val="font14"/>
    <w:uiPriority w:val="99"/>
    <w:qFormat/>
    <w:rPr>
      <w:rFonts w:ascii="Calibri" w:hAnsi="Calibri"/>
      <w:color w:val="000000"/>
      <w:sz w:val="18"/>
      <w:u w:val="none"/>
    </w:rPr>
  </w:style>
  <w:style w:type="character" w:styleId="1073" w:customStyle="1">
    <w:name w:val="font121"/>
    <w:uiPriority w:val="99"/>
    <w:qFormat/>
    <w:rPr>
      <w:rFonts w:ascii="宋体" w:hAnsi="宋体" w:eastAsia="宋体"/>
      <w:color w:val="000000"/>
      <w:sz w:val="16"/>
      <w:u w:val="none"/>
    </w:rPr>
  </w:style>
  <w:style w:type="character" w:styleId="1074" w:customStyle="1">
    <w:name w:val="font71"/>
    <w:uiPriority w:val="99"/>
    <w:qFormat/>
    <w:rPr>
      <w:rFonts w:ascii="宋体" w:hAnsi="宋体" w:eastAsia="宋体"/>
      <w:color w:val="000000"/>
      <w:sz w:val="16"/>
      <w:u w:val="none"/>
    </w:rPr>
  </w:style>
  <w:style w:type="character" w:styleId="1075" w:customStyle="1">
    <w:name w:val="font101"/>
    <w:uiPriority w:val="99"/>
    <w:qFormat/>
    <w:rPr>
      <w:rFonts w:ascii="Arial" w:hAnsi="Arial"/>
      <w:color w:val="000000"/>
      <w:sz w:val="16"/>
      <w:u w:val="none"/>
    </w:rPr>
  </w:style>
  <w:style w:type="character" w:styleId="1076" w:customStyle="1">
    <w:name w:val="font01"/>
    <w:uiPriority w:val="99"/>
    <w:qFormat/>
    <w:rPr>
      <w:rFonts w:ascii="宋体" w:hAnsi="宋体" w:eastAsia="宋体"/>
      <w:color w:val="ff0000"/>
      <w:sz w:val="16"/>
      <w:u w:val="none"/>
    </w:rPr>
  </w:style>
  <w:style w:type="character" w:styleId="1077" w:customStyle="1">
    <w:name w:val="列出段落 Char"/>
    <w:link w:val="1078"/>
    <w:uiPriority w:val="99"/>
    <w:qFormat/>
  </w:style>
  <w:style w:type="paragraph" w:styleId="1078" w:customStyle="1">
    <w:name w:val="列出段落11"/>
    <w:basedOn w:val="823"/>
    <w:link w:val="1077"/>
    <w:uiPriority w:val="99"/>
    <w:qFormat/>
    <w:pPr>
      <w:ind w:firstLine="420"/>
    </w:pPr>
    <w:rPr>
      <w:rFonts w:asciiTheme="minorHAnsi" w:hAnsiTheme="minorHAnsi" w:eastAsiaTheme="minorEastAsia" w:cstheme="minorBidi"/>
      <w:szCs w:val="22"/>
    </w:rPr>
  </w:style>
  <w:style w:type="paragraph" w:styleId="1079" w:customStyle="1">
    <w:name w:val="msolistparagraph"/>
    <w:basedOn w:val="823"/>
    <w:uiPriority w:val="99"/>
    <w:qFormat/>
    <w:pPr>
      <w:ind w:firstLine="420"/>
    </w:pPr>
    <w:rPr>
      <w:rFonts w:ascii="Calibri" w:hAnsi="Calibri"/>
      <w:szCs w:val="22"/>
    </w:rPr>
  </w:style>
  <w:style w:type="paragraph" w:styleId="1080" w:customStyle="1">
    <w:name w:val="段落正文"/>
    <w:basedOn w:val="823"/>
    <w:link w:val="1081"/>
    <w:uiPriority w:val="99"/>
    <w:qFormat/>
    <w:pPr>
      <w:ind w:firstLine="420"/>
      <w:widowControl/>
    </w:pPr>
    <w:rPr>
      <w:rFonts w:ascii="宋体"/>
      <w:szCs w:val="20"/>
    </w:rPr>
  </w:style>
  <w:style w:type="character" w:styleId="1081" w:customStyle="1">
    <w:name w:val="段落正文 Char"/>
    <w:link w:val="1080"/>
    <w:uiPriority w:val="99"/>
    <w:qFormat/>
    <w:rPr>
      <w:rFonts w:ascii="宋体" w:hAnsi="Times New Roman" w:eastAsia="宋体" w:cs="Times New Roman"/>
      <w:szCs w:val="20"/>
    </w:rPr>
  </w:style>
  <w:style w:type="paragraph" w:styleId="1082" w:customStyle="1">
    <w:name w:val="列表段落1"/>
    <w:basedOn w:val="823"/>
    <w:uiPriority w:val="99"/>
    <w:qFormat/>
    <w:pPr>
      <w:ind w:firstLine="420"/>
      <w:spacing w:line="360" w:lineRule="auto"/>
    </w:pPr>
    <w:rPr>
      <w:sz w:val="24"/>
    </w:rPr>
  </w:style>
  <w:style w:type="paragraph" w:styleId="1083">
    <w:name w:val="No Spacing"/>
    <w:uiPriority w:val="99"/>
    <w:qFormat/>
    <w:pPr>
      <w:jc w:val="both"/>
      <w:widowControl w:val="off"/>
    </w:pPr>
    <w:rPr>
      <w:rFonts w:ascii="Calibri" w:hAnsi="Calibri" w:eastAsia="宋体" w:cs="Times New Roman"/>
      <w:sz w:val="21"/>
      <w:szCs w:val="22"/>
      <w:lang w:val="en-US" w:eastAsia="zh-CN" w:bidi="ar-SA"/>
    </w:rPr>
  </w:style>
  <w:style w:type="paragraph" w:styleId="1084" w:customStyle="1">
    <w:name w:val="标题3"/>
    <w:basedOn w:val="823"/>
    <w:next w:val="823"/>
    <w:uiPriority w:val="99"/>
    <w:qFormat/>
    <w:pPr>
      <w:ind w:firstLine="624"/>
      <w:spacing w:line="590" w:lineRule="atLeast"/>
    </w:pPr>
    <w:rPr>
      <w:rFonts w:ascii="方正黑体_GBK" w:eastAsia="方正黑体_GBK"/>
      <w:sz w:val="32"/>
      <w:szCs w:val="32"/>
    </w:rPr>
  </w:style>
  <w:style w:type="paragraph" w:styleId="1085" w:customStyle="1">
    <w:name w:val="正  文"/>
    <w:basedOn w:val="823"/>
    <w:uiPriority w:val="99"/>
    <w:qFormat/>
    <w:pPr>
      <w:ind w:firstLine="200"/>
      <w:spacing w:line="360" w:lineRule="auto"/>
    </w:pPr>
    <w:rPr>
      <w:sz w:val="24"/>
    </w:rPr>
  </w:style>
  <w:style w:type="paragraph" w:styleId="1086" w:customStyle="1">
    <w:name w:val="Proposals body"/>
    <w:basedOn w:val="823"/>
    <w:next w:val="823"/>
    <w:uiPriority w:val="0"/>
    <w:qFormat/>
    <w:pPr>
      <w:jc w:val="left"/>
      <w:spacing w:line="360" w:lineRule="auto"/>
      <w:widowControl/>
    </w:pPr>
    <w:rPr>
      <w:rFonts w:ascii="宋体" w:hAnsi="Calibri"/>
      <w:color w:val="000000"/>
      <w:sz w:val="24"/>
      <w:szCs w:val="20"/>
    </w:rPr>
  </w:style>
  <w:style w:type="character" w:styleId="1087" w:customStyle="1">
    <w:name w:val="font31"/>
    <w:uiPriority w:val="0"/>
    <w:qFormat/>
    <w:rPr>
      <w:rFonts w:hint="eastAsia" w:ascii="微软雅黑" w:hAnsi="微软雅黑" w:eastAsia="微软雅黑" w:cs="微软雅黑"/>
      <w:color w:val="000000"/>
      <w:sz w:val="22"/>
      <w:szCs w:val="22"/>
      <w:u w:val="none"/>
    </w:rPr>
  </w:style>
  <w:style w:type="character" w:styleId="1088" w:customStyle="1">
    <w:name w:val="NormalCharacter"/>
    <w:uiPriority w:val="0"/>
    <w:qFormat/>
  </w:style>
  <w:style w:type="paragraph" w:styleId="1089" w:customStyle="1">
    <w:name w:val="（符号）三标题1.1"/>
    <w:basedOn w:val="823"/>
    <w:uiPriority w:val="0"/>
    <w:qFormat/>
    <w:pPr>
      <w:numPr>
        <w:ilvl w:val="1"/>
        <w:numId w:val="3"/>
      </w:numPr>
      <w:spacing w:line="500" w:lineRule="exact"/>
      <w:tabs>
        <w:tab w:val="left" w:pos="700" w:leader="none"/>
      </w:tabs>
    </w:pPr>
    <w:rPr>
      <w:sz w:val="24"/>
    </w:rPr>
  </w:style>
  <w:style w:type="character" w:styleId="1090" w:customStyle="1">
    <w:name w:val="custom-tag-placeholder-class"/>
    <w:basedOn w:val="833"/>
    <w:uiPriority w:val="0"/>
    <w:qFormat/>
  </w:style>
  <w:style w:type="paragraph" w:styleId="1091" w:customStyle="1">
    <w:name w:val="正文文本缩进 31"/>
    <w:basedOn w:val="823"/>
    <w:uiPriority w:val="99"/>
    <w:qFormat/>
    <w:pPr>
      <w:ind w:left="645" w:firstLine="645"/>
    </w:pPr>
    <w:rPr>
      <w:rFonts w:ascii="Arial" w:hAnsi="Arial" w:eastAsia="仿宋_GB2312"/>
      <w:color w:val="ffff00"/>
      <w:sz w:val="32"/>
      <w:szCs w:val="20"/>
    </w:rPr>
  </w:style>
  <w:style w:type="character" w:styleId="1092" w:customStyle="1">
    <w:name w:val="标题 1 Char2"/>
    <w:link w:val="824"/>
    <w:uiPriority w:val="0"/>
    <w:qFormat/>
    <w:rPr>
      <w:rFonts w:ascii="Arial" w:hAnsi="Arial" w:eastAsia="Arial" w:cs="Arial"/>
      <w:sz w:val="40"/>
      <w:szCs w:val="40"/>
    </w:rPr>
  </w:style>
  <w:style w:type="paragraph" w:styleId="1093" w:customStyle="1">
    <w:name w:val="列表段落"/>
    <w:basedOn w:val="823"/>
    <w:uiPriority w:val="34"/>
    <w:qFormat/>
    <w:pPr>
      <w:ind w:firstLine="420"/>
    </w:pPr>
    <w:rPr>
      <w:rFonts w:ascii="Calibri" w:hAnsi="Calibri"/>
      <w:szCs w:val="22"/>
    </w:rPr>
  </w:style>
  <w:style w:type="paragraph" w:styleId="1094" w:customStyle="1">
    <w:name w:val="正文首行缩进 21"/>
    <w:basedOn w:val="1095"/>
    <w:uiPriority w:val="0"/>
    <w:unhideWhenUsed/>
    <w:qFormat/>
    <w:pPr>
      <w:ind w:left="0" w:firstLine="420"/>
      <w:spacing w:after="0" w:line="360" w:lineRule="auto"/>
    </w:pPr>
    <w:rPr>
      <w:rFonts w:ascii="宋体" w:hAnsi="宋体"/>
      <w:szCs w:val="20"/>
    </w:rPr>
  </w:style>
  <w:style w:type="paragraph" w:styleId="1095" w:customStyle="1">
    <w:name w:val="正文文本缩进11"/>
    <w:basedOn w:val="823"/>
    <w:uiPriority w:val="99"/>
    <w:unhideWhenUsed/>
    <w:qFormat/>
    <w:pPr>
      <w:ind w:left="420"/>
      <w:spacing w:after="120"/>
    </w:pPr>
  </w:style>
  <w:style w:type="paragraph" w:styleId="1096" w:customStyle="1">
    <w:name w:val="Table Text"/>
    <w:basedOn w:val="823"/>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D334A-E6E1-4A48-8D30-5158C80940F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南京南大尚诚软件科技有限公司</dc:creator>
  <cp:lastModifiedBy>李扬</cp:lastModifiedBy>
  <cp:revision>27</cp:revision>
  <dcterms:created xsi:type="dcterms:W3CDTF">2025-11-28T01:35:00Z</dcterms:created>
  <dcterms:modified xsi:type="dcterms:W3CDTF">2026-01-08T08:32:51Z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eyJoZGlkIjoiZDE5MjgzZGNkOWVmZmQyYjdhYzg3ZjNhNGU5NDBmZjEiLCJ1c2VySWQiOiI4MDk3NzUxOTEifQ==</vt:lpwstr>
  </property>
  <property fmtid="{D5CDD505-2E9C-101B-9397-08002B2CF9AE}" pid="3" name="KSOProductBuildVer">
    <vt:lpwstr>2052-12.1.0.24034</vt:lpwstr>
  </property>
  <property fmtid="{D5CDD505-2E9C-101B-9397-08002B2CF9AE}" pid="4" name="ICV">
    <vt:lpwstr>0C840B12FB3B4D378006B0DFA8B77489_13</vt:lpwstr>
  </property>
</Properties>
</file>